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A8" w:rsidRDefault="00297AFF" w:rsidP="00FC6088">
      <w:pPr>
        <w:jc w:val="both"/>
        <w:rPr>
          <w:rFonts w:ascii="Times New Roman" w:eastAsia="Times New Roman" w:hAnsi="Times New Roman" w:cs="Times New Roman"/>
          <w:b/>
        </w:rPr>
      </w:pPr>
      <w:bookmarkStart w:id="0" w:name="_GoBack"/>
      <w:bookmarkEnd w:id="0"/>
      <w:r w:rsidRPr="00FC6088">
        <w:rPr>
          <w:rFonts w:ascii="Times New Roman" w:eastAsia="Times New Roman" w:hAnsi="Times New Roman" w:cs="Times New Roman"/>
          <w:b/>
          <w:sz w:val="24"/>
          <w:szCs w:val="24"/>
        </w:rPr>
        <w:t xml:space="preserve">(13/09/2017 tarih, 83 sayılı Senato toplantısının 2 nolu karar ekidir.)     </w:t>
      </w:r>
      <w:r w:rsidR="00FC6088">
        <w:rPr>
          <w:rFonts w:ascii="Times New Roman" w:eastAsia="Times New Roman" w:hAnsi="Times New Roman" w:cs="Times New Roman"/>
          <w:b/>
          <w:sz w:val="24"/>
          <w:szCs w:val="24"/>
        </w:rPr>
        <w:t xml:space="preserve">                    EK-</w:t>
      </w:r>
      <w:r>
        <w:rPr>
          <w:rFonts w:ascii="Times New Roman" w:eastAsia="Times New Roman" w:hAnsi="Times New Roman" w:cs="Times New Roman"/>
          <w:b/>
        </w:rPr>
        <w:t xml:space="preserve">1                 </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KIRKLARELİ ÜNİVERSİTESİ</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ÖN LİSANS VE LİSANS YATAY GEÇİŞ YÖNERGESİ</w:t>
      </w:r>
    </w:p>
    <w:p w:rsidR="004376A8" w:rsidRDefault="004376A8">
      <w:pPr>
        <w:tabs>
          <w:tab w:val="left" w:pos="284"/>
        </w:tabs>
        <w:spacing w:after="0" w:line="240" w:lineRule="auto"/>
        <w:jc w:val="both"/>
        <w:rPr>
          <w:rFonts w:ascii="Times New Roman" w:eastAsia="Times New Roman" w:hAnsi="Times New Roman" w:cs="Times New Roman"/>
          <w:b/>
          <w:sz w:val="24"/>
          <w:shd w:val="clear" w:color="auto" w:fill="FFFFFF"/>
        </w:rPr>
      </w:pPr>
    </w:p>
    <w:p w:rsidR="004376A8" w:rsidRDefault="00297AFF">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BİRİNCİ BÖLÜM</w:t>
      </w:r>
    </w:p>
    <w:p w:rsidR="004376A8" w:rsidRDefault="00297AFF">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Amaç, Kapsam, Dayanak</w:t>
      </w:r>
    </w:p>
    <w:p w:rsidR="004376A8" w:rsidRDefault="004376A8">
      <w:pPr>
        <w:spacing w:after="0" w:line="240" w:lineRule="auto"/>
        <w:jc w:val="center"/>
        <w:rPr>
          <w:rFonts w:ascii="Times New Roman" w:eastAsia="Times New Roman" w:hAnsi="Times New Roman" w:cs="Times New Roman"/>
          <w:sz w:val="24"/>
          <w:shd w:val="clear" w:color="auto" w:fill="FFFFFF"/>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Amaç</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1</w:t>
      </w:r>
      <w:r>
        <w:rPr>
          <w:rFonts w:ascii="Times New Roman" w:eastAsia="Times New Roman" w:hAnsi="Times New Roman" w:cs="Times New Roman"/>
          <w:sz w:val="24"/>
          <w:shd w:val="clear" w:color="auto" w:fill="FFFFFF"/>
        </w:rPr>
        <w:t> - (1) Bu Yönergenin amacı, Kırklareli Üniversitesi ön lisans ve lisans programlarına yatay geçiş esaslarını düzenlemektir.</w:t>
      </w:r>
    </w:p>
    <w:p w:rsidR="004376A8" w:rsidRDefault="004376A8">
      <w:pPr>
        <w:spacing w:after="0" w:line="240" w:lineRule="auto"/>
        <w:jc w:val="both"/>
        <w:rPr>
          <w:rFonts w:ascii="Times New Roman" w:eastAsia="Times New Roman" w:hAnsi="Times New Roman" w:cs="Times New Roman"/>
          <w:sz w:val="24"/>
          <w:shd w:val="clear" w:color="auto" w:fill="FFFFFF"/>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Kapsam</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2</w:t>
      </w:r>
      <w:r>
        <w:rPr>
          <w:rFonts w:ascii="Times New Roman" w:eastAsia="Times New Roman" w:hAnsi="Times New Roman" w:cs="Times New Roman"/>
          <w:sz w:val="24"/>
          <w:shd w:val="clear" w:color="auto" w:fill="FFFFFF"/>
        </w:rPr>
        <w:t> - (1) Bu Yönerge, Kırklareli Üniversitesi ile Yükseköğretim Kurulu tarafından denkliği tanınan yükseköğretim kurumlarının ön lisans ve lisans düzeyindeki eşdeğer programları arasındaki yatay geçiş esaslarına ilişkin hükümleri kapsar.</w:t>
      </w:r>
    </w:p>
    <w:p w:rsidR="004376A8" w:rsidRDefault="004376A8">
      <w:pPr>
        <w:spacing w:after="0" w:line="240" w:lineRule="auto"/>
        <w:ind w:firstLine="708"/>
        <w:jc w:val="both"/>
        <w:rPr>
          <w:rFonts w:ascii="Times New Roman" w:eastAsia="Times New Roman" w:hAnsi="Times New Roman" w:cs="Times New Roman"/>
          <w:sz w:val="24"/>
          <w:shd w:val="clear" w:color="auto" w:fill="FFFFFF"/>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Dayanak</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3</w:t>
      </w:r>
      <w:r>
        <w:rPr>
          <w:rFonts w:ascii="Times New Roman" w:eastAsia="Times New Roman" w:hAnsi="Times New Roman" w:cs="Times New Roman"/>
          <w:sz w:val="24"/>
          <w:shd w:val="clear" w:color="auto" w:fill="FFFFFF"/>
        </w:rPr>
        <w:t> - (1) Bu Yönerge, 24/4/2010 tarihli ve 27561 sayılı Resmi Gazetede yayımlanan Yükseköğretim Kurumlarında Ön Lisans ve Lisans Düzeyindeki Programlar Arasında Geçiş, Çift Ana Dal, Yan Dal ile Kurumlararası Kredi Transferi Yapılması Esaslarına İlişkin Yönetmeliğe dayanılarak hazırlanmıştır.</w:t>
      </w:r>
    </w:p>
    <w:p w:rsidR="004376A8" w:rsidRDefault="004376A8">
      <w:pPr>
        <w:spacing w:after="0" w:line="240" w:lineRule="auto"/>
        <w:jc w:val="both"/>
        <w:rPr>
          <w:rFonts w:ascii="Times New Roman" w:eastAsia="Times New Roman" w:hAnsi="Times New Roman" w:cs="Times New Roman"/>
          <w:b/>
          <w:sz w:val="24"/>
        </w:rPr>
      </w:pPr>
    </w:p>
    <w:p w:rsidR="004376A8" w:rsidRDefault="00297AFF">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İKİNCİ BÖLÜM</w:t>
      </w: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Not Ortalaması ile Yatay Geçiş</w:t>
      </w:r>
    </w:p>
    <w:p w:rsidR="004376A8" w:rsidRDefault="00297AFF">
      <w:pPr>
        <w:tabs>
          <w:tab w:val="left" w:pos="284"/>
        </w:tabs>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b/>
      </w:r>
    </w:p>
    <w:p w:rsidR="004376A8" w:rsidRDefault="00297AFF">
      <w:pPr>
        <w:tabs>
          <w:tab w:val="left" w:pos="284"/>
        </w:tabs>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t>Genel Hükümler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MADDE 4 -</w:t>
      </w:r>
      <w:r>
        <w:rPr>
          <w:rFonts w:ascii="Times New Roman" w:eastAsia="Times New Roman" w:hAnsi="Times New Roman" w:cs="Times New Roman"/>
          <w:sz w:val="24"/>
        </w:rPr>
        <w:t xml:space="preserve"> (1) Yatay geçişler eşdeğer düzeyde, isimleri aynı olan veya ilgili yönetim kurulları tarafından içeriklerinin en az % 80’inin aynı olduğu tespit edilen diploma programları arasında yapılır. </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Yükseköğretim Kurulu tarafından yayınlanan kontenjanlar çerçevesinde, ön lisans diploma programlarına ikinci yarıyıldan, lisans diploma programlarına ise üçüncü yarıyıldan itibaren yatay geçiş yapılabilir. </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Hazırlık sınıflarına, ön lisans programlarının ilk ve son yarıyılına, lisans programlarının ilk ve son sınıfına yatay geçiş yapılamaz. </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b/>
          <w:sz w:val="24"/>
        </w:rPr>
        <w:t xml:space="preserve"> </w:t>
      </w:r>
      <w:r>
        <w:rPr>
          <w:rFonts w:ascii="Times New Roman" w:eastAsia="Times New Roman" w:hAnsi="Times New Roman" w:cs="Times New Roman"/>
          <w:sz w:val="24"/>
        </w:rPr>
        <w:t>Kayıt dondurmuş olma hariç öğrenime ara vermemiş olmak gerekir.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Öğrenim gördüğü yükseköğretim kurumunda disiplin cezası almış olanlar yatay geçiş için başvuruda bulunamazlar.</w:t>
      </w:r>
    </w:p>
    <w:p w:rsidR="004376A8" w:rsidRDefault="00297AFF">
      <w:pPr>
        <w:tabs>
          <w:tab w:val="left" w:pos="284"/>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r>
      <w:r>
        <w:rPr>
          <w:rFonts w:ascii="Times New Roman" w:eastAsia="Times New Roman" w:hAnsi="Times New Roman" w:cs="Times New Roman"/>
          <w:sz w:val="24"/>
          <w:shd w:val="clear" w:color="auto" w:fill="FFFFFF"/>
        </w:rPr>
        <w:t>(6) Yükseköğretim kurumlarında 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dahilinde yatay geçiş yapabilirler.</w:t>
      </w:r>
    </w:p>
    <w:p w:rsidR="004376A8" w:rsidRDefault="00297AFF">
      <w:pPr>
        <w:tabs>
          <w:tab w:val="left" w:pos="709"/>
          <w:tab w:val="left" w:pos="993"/>
          <w:tab w:val="left" w:pos="1418"/>
          <w:tab w:val="left" w:pos="850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(7) Açık ve uzaktan öğretimden örgün öğretim programlarına geçiş yapılabilmesi için, öğrencinin öğrenim görmekte olduğu programdaki genel not ortalamasının 4.00 üzerinden en az 3.00 olması gerekir.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(8)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belgelendirmek şarttır. </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(9)</w:t>
      </w:r>
      <w:r>
        <w:rPr>
          <w:rFonts w:ascii="Times New Roman" w:eastAsia="Times New Roman" w:hAnsi="Times New Roman" w:cs="Times New Roman"/>
          <w:b/>
          <w:sz w:val="24"/>
        </w:rPr>
        <w:t xml:space="preserve"> </w:t>
      </w:r>
      <w:r>
        <w:rPr>
          <w:rFonts w:ascii="Times New Roman" w:eastAsia="Times New Roman" w:hAnsi="Times New Roman" w:cs="Times New Roman"/>
          <w:sz w:val="24"/>
        </w:rPr>
        <w:t>Yatay geçiş başvurularının değerlendirilmesi fakülte/yüksekokul/meslek yüksekokulu yönetim kurullarınca oluşturulan komisyonlar tarafından yapılır.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b/>
          <w:sz w:val="24"/>
        </w:rPr>
        <w:t xml:space="preserve"> </w:t>
      </w:r>
      <w:r>
        <w:rPr>
          <w:rFonts w:ascii="Times New Roman" w:eastAsia="Times New Roman" w:hAnsi="Times New Roman" w:cs="Times New Roman"/>
          <w:sz w:val="24"/>
        </w:rPr>
        <w:t>Yatay geçiş yerleştirme işlemleri fakülte/yüksekokul/meslek yüksekokulu yönetim kurulu kararı üzerine yapılır.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Yatay geçiş için başvuran adayların değerlendirme sonuçları internet sayfasında ilan edilir. </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b/>
          <w:sz w:val="24"/>
        </w:rPr>
        <w:t xml:space="preserve"> </w:t>
      </w:r>
      <w:r>
        <w:rPr>
          <w:rFonts w:ascii="Times New Roman" w:eastAsia="Times New Roman" w:hAnsi="Times New Roman" w:cs="Times New Roman"/>
          <w:sz w:val="24"/>
        </w:rPr>
        <w:t>Yatay geçiş ile kesin kayıt yaptıran öğrencilerin yeni durumları, kayıt işlemi tamamlanıp geçiş ve intibak işlemleri kesinleştikten sonra Öğrenci Bilgi Sistemine işlenerek en geç 1 hafta içinde Rektörlüğe gönderilir.</w:t>
      </w:r>
    </w:p>
    <w:p w:rsidR="004376A8" w:rsidRDefault="004376A8">
      <w:pPr>
        <w:spacing w:after="0" w:line="240" w:lineRule="auto"/>
        <w:ind w:firstLine="708"/>
        <w:jc w:val="both"/>
        <w:rPr>
          <w:rFonts w:ascii="Times New Roman" w:eastAsia="Times New Roman" w:hAnsi="Times New Roman" w:cs="Times New Roman"/>
          <w:sz w:val="24"/>
        </w:rPr>
      </w:pPr>
    </w:p>
    <w:p w:rsidR="004376A8" w:rsidRDefault="00297AFF">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Not Ortalaması ile Kurum içi Yatay Geçiş</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5 - </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Bir fakülte, yüksekokul, meslek yüksekokulu veya üniversite içinde yer alan diğer fakülte, yüksekokul, meslek yüksekokulunun bünyesindeki eşdeğer düzeyde diploma programlarına belirlenen kontenjanlar dahilinde yatay geçiş yapılabilir.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Birinci öğretimden ikinci öğretime kontenjan sınırlaması olmaksızın kurum içi yatay geçiş yapılabilir ancak bu durumda </w:t>
      </w:r>
      <w:r w:rsidR="000748D1">
        <w:rPr>
          <w:rFonts w:ascii="Times New Roman" w:eastAsia="Times New Roman" w:hAnsi="Times New Roman" w:cs="Times New Roman"/>
          <w:sz w:val="24"/>
        </w:rPr>
        <w:t>i</w:t>
      </w:r>
      <w:r>
        <w:rPr>
          <w:rFonts w:ascii="Times New Roman" w:eastAsia="Times New Roman" w:hAnsi="Times New Roman" w:cs="Times New Roman"/>
          <w:sz w:val="24"/>
        </w:rPr>
        <w:t>kinci öğretim ücreti ödenir.</w:t>
      </w:r>
    </w:p>
    <w:p w:rsidR="004376A8" w:rsidRDefault="00297AFF" w:rsidP="009D769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9D769B" w:rsidRPr="009D769B">
        <w:rPr>
          <w:rFonts w:ascii="Times New Roman" w:eastAsia="Times New Roman" w:hAnsi="Times New Roman" w:cs="Times New Roman"/>
          <w:sz w:val="24"/>
        </w:rPr>
        <w:t xml:space="preserve">(Değişik S.K. </w:t>
      </w:r>
      <w:r w:rsidR="009D769B" w:rsidRPr="009D769B">
        <w:rPr>
          <w:rFonts w:ascii="Times New Roman" w:hAnsi="Times New Roman" w:cs="Times New Roman"/>
          <w:sz w:val="24"/>
          <w:szCs w:val="24"/>
        </w:rPr>
        <w:t>18.04.2023 tarihli, 146 sayılı)</w:t>
      </w:r>
      <w:r w:rsidR="009D769B">
        <w:rPr>
          <w:rFonts w:ascii="Times New Roman" w:hAnsi="Times New Roman" w:cs="Times New Roman"/>
          <w:b/>
          <w:sz w:val="24"/>
          <w:szCs w:val="24"/>
        </w:rPr>
        <w:t xml:space="preserve"> </w:t>
      </w:r>
      <w:r w:rsidR="009D769B" w:rsidRPr="009D769B">
        <w:rPr>
          <w:rFonts w:ascii="Times New Roman" w:eastAsia="Times New Roman" w:hAnsi="Times New Roman" w:cs="Times New Roman"/>
          <w:sz w:val="24"/>
        </w:rPr>
        <w:t>Kurum içi yatay geçişlerde başarısız ders sayısına bakılmaksızın genel not ortalamasının (gireceği sınıfa veya yarıyıla kadar geçiş notu dahil) 4.00 tam not üzerinden en az 2.00 olması gerekir. Başvurular, adayların genel not ortalamasının 100’lük sistemdeki karşılığının %60’ı ile programın puan türünde yükseköğretime kayıt olduğu yıldaki ÖSYS/YKS puanının 100 tam puan üzerinden karşılığının %40'ı toplanarak hesaplanır ve ayrılan kontenjana göre geçiş sağlanır.</w:t>
      </w:r>
    </w:p>
    <w:p w:rsidR="009D769B" w:rsidRDefault="009D769B" w:rsidP="009D769B">
      <w:pPr>
        <w:spacing w:after="0" w:line="240" w:lineRule="auto"/>
        <w:ind w:firstLine="708"/>
        <w:jc w:val="both"/>
        <w:rPr>
          <w:rFonts w:ascii="Times New Roman" w:eastAsia="Times New Roman" w:hAnsi="Times New Roman" w:cs="Times New Roman"/>
          <w:sz w:val="24"/>
        </w:rPr>
      </w:pPr>
    </w:p>
    <w:p w:rsidR="004376A8" w:rsidRDefault="00297AFF">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Not Ortalaması ile Kurumlararası Yatay Geçiş</w:t>
      </w:r>
    </w:p>
    <w:p w:rsidR="004376A8" w:rsidRDefault="00297AFF">
      <w:pPr>
        <w:tabs>
          <w:tab w:val="left" w:pos="284"/>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t xml:space="preserve">MADDE 6 - </w:t>
      </w:r>
      <w:r>
        <w:rPr>
          <w:rFonts w:ascii="Times New Roman" w:eastAsia="Times New Roman" w:hAnsi="Times New Roman" w:cs="Times New Roman"/>
          <w:sz w:val="24"/>
          <w:shd w:val="clear" w:color="auto" w:fill="FFFFFF"/>
        </w:rPr>
        <w:t>(1)</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Üniversitemiz bünyesindeki ön lisans ve lisans programlarına kurumlararası yatay geçiş, Yükseköğretim kurumlarında Ön Lisans ve Lisans Düzeyindeki Programlar Arasında Geçiş, Çift Anadal, Yan Dal ile Kurumlararası Kredi Transferi Yapılması Esaslarına İlişkin Yönetmelik gereği ve Yükseköğretim Kurulu Başkanlığı tarafından tespit ve ilan edilen kontenjanlar esas alınarak yapılır.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9D769B" w:rsidRPr="009D769B">
        <w:rPr>
          <w:rFonts w:ascii="Times New Roman" w:eastAsia="Times New Roman" w:hAnsi="Times New Roman" w:cs="Times New Roman"/>
          <w:sz w:val="24"/>
        </w:rPr>
        <w:t xml:space="preserve">(Değişik S.K. </w:t>
      </w:r>
      <w:r w:rsidR="009D769B" w:rsidRPr="009D769B">
        <w:rPr>
          <w:rFonts w:ascii="Times New Roman" w:hAnsi="Times New Roman" w:cs="Times New Roman"/>
          <w:sz w:val="24"/>
          <w:szCs w:val="24"/>
        </w:rPr>
        <w:t>18.04.2023 tarihli, 146 sayılı)</w:t>
      </w:r>
      <w:r w:rsidR="009D769B">
        <w:rPr>
          <w:rFonts w:ascii="Times New Roman" w:hAnsi="Times New Roman" w:cs="Times New Roman"/>
          <w:b/>
          <w:sz w:val="24"/>
          <w:szCs w:val="24"/>
        </w:rPr>
        <w:t xml:space="preserve"> </w:t>
      </w:r>
      <w:r w:rsidR="009D769B" w:rsidRPr="009D769B">
        <w:rPr>
          <w:rFonts w:ascii="Times New Roman" w:eastAsia="Times New Roman" w:hAnsi="Times New Roman" w:cs="Times New Roman"/>
          <w:sz w:val="24"/>
        </w:rPr>
        <w:t>Kurumlararası yatay geçiş için öğrencinin tamamladığı yarıyıl itibariyle, kendi üniversitesinin eğitim planında bulunan bütün dersleri almış ve başarmış olması, genel not ortalamasının 4.00 tam not üzerinden en az 2.00 (gireceği sınıfa veya yarıyıla kadar geçiş notu dahil) ve kayıt dondurma hariç eğitimine ara vermemiş olması gerekir. Başvurular, adayların genel not ortalamasının 100’lük sistemdeki karşılığının %60’ı ile programın puan türünde yükseköğretime kayıt olduğu yıldaki ÖSYS/YKS puanının 100 tam puan üzerinden karşılığının %40'ı toplanarak hesaplanır ve ayrılan kontenjana göre geçiş sağlanır.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(3) Fakülte, yüksekokul veya meslek yüksekokullarının ilgili kurulları, kurumlararası yatay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 İlave kontenjan belirlenmesi halinde bu kontenjanlar en geç Mayıs ayının otuzuncu günü mesai saati bitimine kadar Yükseköğretim Kuruluna bildirileceğinden Haziran ayının ilk haftası, ön lisans diploma programları için ikinci yarıyılda açılması istenen ilave yatay geçiş kontenjanları ise ilgili kurul tarafından belirlenerek, en geç Aralık ayının otuz birinci günü mesai saati bitimine kadar Yükseköğretim Kuruluna bildirileceğinden Kasım ayının ilk haftası Rektörlüğe bildirilir. </w:t>
      </w:r>
    </w:p>
    <w:p w:rsidR="004376A8" w:rsidRDefault="004376A8">
      <w:pPr>
        <w:tabs>
          <w:tab w:val="left" w:pos="284"/>
        </w:tabs>
        <w:spacing w:after="0" w:line="240" w:lineRule="auto"/>
        <w:jc w:val="both"/>
        <w:rPr>
          <w:rFonts w:ascii="Times New Roman" w:eastAsia="Times New Roman" w:hAnsi="Times New Roman" w:cs="Times New Roman"/>
          <w:sz w:val="24"/>
          <w:shd w:val="clear" w:color="auto" w:fill="FFFFFF"/>
        </w:rPr>
      </w:pPr>
    </w:p>
    <w:p w:rsidR="00FC6088" w:rsidRDefault="00FC6088">
      <w:pPr>
        <w:tabs>
          <w:tab w:val="left" w:pos="284"/>
        </w:tabs>
        <w:spacing w:after="0" w:line="240" w:lineRule="auto"/>
        <w:jc w:val="both"/>
        <w:rPr>
          <w:rFonts w:ascii="Times New Roman" w:eastAsia="Times New Roman" w:hAnsi="Times New Roman" w:cs="Times New Roman"/>
          <w:sz w:val="24"/>
          <w:shd w:val="clear" w:color="auto" w:fill="FFFFFF"/>
        </w:rPr>
      </w:pPr>
    </w:p>
    <w:p w:rsidR="00FC6088" w:rsidRDefault="00FC6088">
      <w:pPr>
        <w:tabs>
          <w:tab w:val="left" w:pos="284"/>
        </w:tabs>
        <w:spacing w:after="0" w:line="240" w:lineRule="auto"/>
        <w:jc w:val="both"/>
        <w:rPr>
          <w:rFonts w:ascii="Times New Roman" w:eastAsia="Times New Roman" w:hAnsi="Times New Roman" w:cs="Times New Roman"/>
          <w:sz w:val="24"/>
          <w:shd w:val="clear" w:color="auto" w:fill="FFFFFF"/>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ÜÇÜNCÜ BÖLÜM</w:t>
      </w: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Merkezi Yerleştirme Puanı ile Yatay Geçiş</w:t>
      </w:r>
    </w:p>
    <w:p w:rsidR="004376A8" w:rsidRDefault="004376A8">
      <w:pPr>
        <w:tabs>
          <w:tab w:val="left" w:pos="284"/>
        </w:tabs>
        <w:spacing w:after="0" w:line="240" w:lineRule="auto"/>
        <w:rPr>
          <w:rFonts w:ascii="Times New Roman" w:eastAsia="Times New Roman" w:hAnsi="Times New Roman" w:cs="Times New Roman"/>
          <w:b/>
          <w:sz w:val="24"/>
          <w:shd w:val="clear" w:color="auto" w:fill="FFFFFF"/>
        </w:rPr>
      </w:pPr>
    </w:p>
    <w:p w:rsidR="004376A8" w:rsidRDefault="00297AFF">
      <w:pPr>
        <w:tabs>
          <w:tab w:val="left" w:pos="284"/>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t xml:space="preserve">MADDE 7 - </w:t>
      </w:r>
      <w:r>
        <w:rPr>
          <w:rFonts w:ascii="Times New Roman" w:eastAsia="Times New Roman" w:hAnsi="Times New Roman" w:cs="Times New Roman"/>
          <w:sz w:val="24"/>
          <w:shd w:val="clear" w:color="auto" w:fill="FFFFFF"/>
        </w:rPr>
        <w:t>(1)</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Merkezi yerleştirme puanı ile yapılacak olan yatay geçiş başvuruları, Yükseköğretim Kurumlarında Ön Lisans ve Lisans Düzeyindeki Programlar Arasında Geçiş, Çift Anadal, Yan Dal ile Kurumlararası Kredi Transferi Yapılması Esaslarına İlişkin Yönetmelikte Değişiklik Yapılmasına Dair Yönetmeliğin Ek Madde - 1’i kapsamında değerlendirilir.</w:t>
      </w:r>
    </w:p>
    <w:p w:rsidR="004376A8" w:rsidRDefault="004376A8">
      <w:pPr>
        <w:tabs>
          <w:tab w:val="left" w:pos="284"/>
        </w:tabs>
        <w:spacing w:after="0" w:line="240" w:lineRule="auto"/>
        <w:rPr>
          <w:rFonts w:ascii="Times New Roman" w:eastAsia="Times New Roman" w:hAnsi="Times New Roman" w:cs="Times New Roman"/>
          <w:b/>
          <w:sz w:val="24"/>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DÖRDÜNCÜ BÖLÜM</w:t>
      </w:r>
    </w:p>
    <w:p w:rsidR="004376A8" w:rsidRDefault="00297AFF">
      <w:pPr>
        <w:tabs>
          <w:tab w:val="left" w:pos="28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Yurt Dışından Yatay Geçiş</w:t>
      </w:r>
    </w:p>
    <w:p w:rsidR="004376A8" w:rsidRDefault="004376A8">
      <w:pPr>
        <w:spacing w:after="0" w:line="240" w:lineRule="auto"/>
        <w:jc w:val="both"/>
        <w:rPr>
          <w:rFonts w:ascii="Times New Roman" w:eastAsia="Times New Roman" w:hAnsi="Times New Roman" w:cs="Times New Roman"/>
          <w:b/>
          <w:sz w:val="24"/>
        </w:rPr>
      </w:pP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8 - </w:t>
      </w:r>
      <w:r>
        <w:rPr>
          <w:rFonts w:ascii="Times New Roman" w:eastAsia="Times New Roman" w:hAnsi="Times New Roman" w:cs="Times New Roman"/>
          <w:sz w:val="24"/>
        </w:rPr>
        <w:t>(1) Yurt dışı yatay geçiş kontenjanları kurumlararası not ortalaması ile yatay geçiş kontenjanlarının yarısını aşmayacak şekilde belirlenir.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Yabancı ülkelerdeki yükseköğretim kurumlarından geçiş için, öğrencinin bu Yönergenin 6 ncı maddesinin ikinci fıkrasında belirlenen kurumlar arası yatay geçiş başarı şartları aranır.</w:t>
      </w:r>
    </w:p>
    <w:p w:rsidR="004376A8" w:rsidRDefault="00297AFF">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(3) Yurt dışı üniversitelerinden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ön lisans veya lisans diploma programına eşdeğerliğinin ilgili üniversite tarafından kabul edilmesi şartı aranır.</w:t>
      </w:r>
    </w:p>
    <w:p w:rsidR="004376A8" w:rsidRDefault="00297AFF">
      <w:pPr>
        <w:tabs>
          <w:tab w:val="left" w:pos="709"/>
        </w:tabs>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Yurt dışındaki yükseköğretim kurumlarından yapılan başvuruların değerlendirilmesinde kullanılacak ÖSYM tarafından yapılan Öğrenci Seçme ve Yerleştirme Sınavlarındaki asgari puanlar ile bunlara eşdeğerliği kabul edilen sınavlar ve puanları, yurt dışı yatay geçiş kontenjanları ile birlikte Yükseköğretim Kurulu tarafından ilan edilir. Adayların yatay geçiş başvurusu yapabilmeleri için en az ilan edilen puanlara sahip olması gerekir.</w:t>
      </w:r>
    </w:p>
    <w:p w:rsidR="004376A8" w:rsidRDefault="00297AFF">
      <w:pPr>
        <w:tabs>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sz w:val="24"/>
          <w:shd w:val="clear" w:color="auto" w:fill="FFFFFF"/>
        </w:rPr>
        <w:t>(5)</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xml:space="preserve">Yurt dışından yurtiçine yapılabilecek yatay geçişlerde, </w:t>
      </w:r>
    </w:p>
    <w:p w:rsidR="004376A8" w:rsidRDefault="00297AFF">
      <w:pPr>
        <w:tabs>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a) İlgili yıldaki ÖSYS Kılavuzlarında yer alan (Tıp, Hukuk, Mühendislik, Mimarlık, Öğretmenlik vb.) programlar için belirlenen başarı sırası aranır. </w:t>
      </w:r>
    </w:p>
    <w:p w:rsidR="004376A8" w:rsidRDefault="00297AFF">
      <w:pPr>
        <w:tabs>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b) Başarı sırası aranmayan programlar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puanına eşit veya yüksek olması gerekir.</w:t>
      </w:r>
    </w:p>
    <w:p w:rsidR="004376A8" w:rsidRDefault="004376A8">
      <w:pPr>
        <w:tabs>
          <w:tab w:val="left" w:pos="284"/>
        </w:tabs>
        <w:spacing w:after="0" w:line="240" w:lineRule="auto"/>
        <w:jc w:val="center"/>
        <w:rPr>
          <w:rFonts w:ascii="Times New Roman" w:eastAsia="Times New Roman" w:hAnsi="Times New Roman" w:cs="Times New Roman"/>
          <w:b/>
          <w:sz w:val="24"/>
          <w:shd w:val="clear" w:color="auto" w:fill="FFFFFF"/>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BEŞİNCİ BÖLÜM</w:t>
      </w:r>
    </w:p>
    <w:p w:rsidR="004376A8" w:rsidRDefault="00297AFF">
      <w:pPr>
        <w:tabs>
          <w:tab w:val="left" w:pos="142"/>
          <w:tab w:val="left" w:pos="28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Özel Durumlar</w:t>
      </w:r>
    </w:p>
    <w:p w:rsidR="004376A8" w:rsidRDefault="004376A8">
      <w:pPr>
        <w:spacing w:after="0" w:line="240" w:lineRule="auto"/>
        <w:jc w:val="both"/>
        <w:rPr>
          <w:rFonts w:ascii="Times New Roman" w:eastAsia="Times New Roman" w:hAnsi="Times New Roman" w:cs="Times New Roman"/>
          <w:b/>
          <w:sz w:val="24"/>
        </w:rPr>
      </w:pP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9 - </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Vakıf yükseköğretim kurumları veya yurt dışındaki yükseköğretim kurumlarından yatay geçiş yapan öğrenciler, geçiş yaptıkları programın ikinci öğretim ücretini ödemek zorundadır. Ayrıca vakıf üniversitelerinin bir programında burslu kontenjan dahilinde öğrenim görmekte olan öğrenciler yatay geçiş yaptıklarında burslarından feragat etmiş sayılırlar.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w:t>
      </w:r>
      <w:r>
        <w:rPr>
          <w:rFonts w:ascii="Times New Roman" w:eastAsia="Times New Roman" w:hAnsi="Times New Roman" w:cs="Times New Roman"/>
          <w:sz w:val="24"/>
        </w:rPr>
        <w:lastRenderedPageBreak/>
        <w:t>gidecekleri yükseköğretim kurumundaki diploma programının yerleştikleri yıl itibariyle taban puanından daha yüksek olmak şartı ile kontenjan aranmaksızın nakledilebilirler.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b/>
          <w:sz w:val="24"/>
        </w:rPr>
        <w:t xml:space="preserve"> </w:t>
      </w:r>
      <w:r>
        <w:rPr>
          <w:rFonts w:ascii="Times New Roman" w:eastAsia="Times New Roman" w:hAnsi="Times New Roman" w:cs="Times New Roman"/>
          <w:sz w:val="24"/>
        </w:rPr>
        <w:t>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4376A8" w:rsidRDefault="004376A8">
      <w:pPr>
        <w:spacing w:after="0" w:line="240" w:lineRule="auto"/>
        <w:ind w:firstLine="708"/>
        <w:jc w:val="both"/>
        <w:rPr>
          <w:rFonts w:ascii="Times New Roman" w:eastAsia="Times New Roman" w:hAnsi="Times New Roman" w:cs="Times New Roman"/>
          <w:sz w:val="24"/>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ALTINCI BÖLÜM</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Başvuruların Değerlendirilmesi</w:t>
      </w:r>
    </w:p>
    <w:p w:rsidR="004376A8" w:rsidRDefault="004376A8">
      <w:pPr>
        <w:spacing w:after="0" w:line="240" w:lineRule="auto"/>
        <w:rPr>
          <w:rFonts w:ascii="Times New Roman" w:eastAsia="Times New Roman" w:hAnsi="Times New Roman" w:cs="Times New Roman"/>
          <w:b/>
          <w:sz w:val="24"/>
        </w:rPr>
      </w:pPr>
    </w:p>
    <w:p w:rsidR="004376A8" w:rsidRDefault="00297AFF">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MADDE 10 - </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Yatay geçiş başvuruları akademik takvimde ilan edilen süreler içerisinde yapılır.</w:t>
      </w:r>
    </w:p>
    <w:p w:rsidR="009D769B"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b/>
          <w:sz w:val="24"/>
        </w:rPr>
        <w:t xml:space="preserve"> </w:t>
      </w:r>
      <w:r w:rsidR="009D769B" w:rsidRPr="009D769B">
        <w:rPr>
          <w:rFonts w:ascii="Times New Roman" w:eastAsia="Times New Roman" w:hAnsi="Times New Roman" w:cs="Times New Roman"/>
          <w:sz w:val="24"/>
        </w:rPr>
        <w:t xml:space="preserve">(Değişik S.K. </w:t>
      </w:r>
      <w:r w:rsidR="009D769B" w:rsidRPr="009D769B">
        <w:rPr>
          <w:rFonts w:ascii="Times New Roman" w:hAnsi="Times New Roman" w:cs="Times New Roman"/>
          <w:sz w:val="24"/>
          <w:szCs w:val="24"/>
        </w:rPr>
        <w:t>18.04.2023 tarihli, 146 sayılı)</w:t>
      </w:r>
      <w:r w:rsidR="009D769B">
        <w:rPr>
          <w:rFonts w:ascii="Times New Roman" w:hAnsi="Times New Roman" w:cs="Times New Roman"/>
          <w:b/>
          <w:sz w:val="24"/>
          <w:szCs w:val="24"/>
        </w:rPr>
        <w:t xml:space="preserve"> </w:t>
      </w:r>
      <w:r w:rsidR="009D769B" w:rsidRPr="00236374">
        <w:rPr>
          <w:rFonts w:ascii="Times New Roman" w:hAnsi="Times New Roman" w:cs="Times New Roman"/>
          <w:color w:val="000000" w:themeColor="text1"/>
          <w:sz w:val="24"/>
          <w:szCs w:val="24"/>
        </w:rPr>
        <w:t>Başvurusu kabul edilen adayların başarı sıralaması, en yüksek puandan başlanarak yapılır. Başvurunun kontenjandan fazla olması ve hesaplanan başvuru puanının eşit olması durumunda, genel ağırlıklı not ortalamasına (GANO) bakılır; genel ağırlıklı not ortalamasının (GANO) da eşit olması durumunda merkezi yerleştirme puanlarına bakılarak puanı yüksek olan aday sıralamaya alınır.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Yapılan başvurularda not ortalaması veya merkezi yerleştirme puanının eşit olması durumunda, alanında yapılan başvuruya öncelik verilir. Eşitliğin yine bozulmaması durumunda sırlamaya hangi adayın alınacağına ilgili birimin yönetim kurulunca karar verilir. </w:t>
      </w:r>
    </w:p>
    <w:p w:rsidR="009D769B" w:rsidRPr="009D769B" w:rsidRDefault="00297AFF" w:rsidP="009D769B">
      <w:pPr>
        <w:spacing w:after="0" w:line="240" w:lineRule="auto"/>
        <w:ind w:firstLine="708"/>
        <w:contextualSpacing/>
        <w:jc w:val="both"/>
        <w:rPr>
          <w:rFonts w:ascii="Times New Roman" w:eastAsiaTheme="minorHAnsi" w:hAnsi="Times New Roman" w:cs="Times New Roman"/>
          <w:color w:val="000000" w:themeColor="text1"/>
          <w:sz w:val="24"/>
          <w:szCs w:val="24"/>
          <w:lang w:eastAsia="en-US"/>
        </w:rPr>
      </w:pPr>
      <w:r>
        <w:rPr>
          <w:rFonts w:ascii="Times New Roman" w:eastAsia="Times New Roman" w:hAnsi="Times New Roman" w:cs="Times New Roman"/>
          <w:sz w:val="24"/>
        </w:rPr>
        <w:t xml:space="preserve">(4) </w:t>
      </w:r>
      <w:r w:rsidR="009D769B" w:rsidRPr="009D769B">
        <w:rPr>
          <w:rFonts w:ascii="Times New Roman" w:eastAsia="Times New Roman" w:hAnsi="Times New Roman" w:cs="Times New Roman"/>
          <w:sz w:val="24"/>
        </w:rPr>
        <w:t xml:space="preserve">(Değişik S.K. </w:t>
      </w:r>
      <w:r w:rsidR="009D769B" w:rsidRPr="009D769B">
        <w:rPr>
          <w:rFonts w:ascii="Times New Roman" w:hAnsi="Times New Roman" w:cs="Times New Roman"/>
          <w:sz w:val="24"/>
          <w:szCs w:val="24"/>
        </w:rPr>
        <w:t>18.04.2023 tarihli, 146 sayılı)</w:t>
      </w:r>
      <w:r w:rsidR="009D769B">
        <w:rPr>
          <w:rFonts w:ascii="Times New Roman" w:hAnsi="Times New Roman" w:cs="Times New Roman"/>
          <w:b/>
          <w:sz w:val="24"/>
          <w:szCs w:val="24"/>
        </w:rPr>
        <w:t xml:space="preserve"> </w:t>
      </w:r>
      <w:r w:rsidR="009D769B" w:rsidRPr="009D769B">
        <w:rPr>
          <w:rFonts w:ascii="Times New Roman" w:eastAsiaTheme="minorHAnsi" w:hAnsi="Times New Roman" w:cs="Times New Roman"/>
          <w:color w:val="000000" w:themeColor="text1"/>
          <w:sz w:val="24"/>
          <w:szCs w:val="24"/>
          <w:lang w:eastAsia="en-US"/>
        </w:rPr>
        <w:t>Asil adaylar belirlendikten sonra başarı şartını taşıyan diğer adaylar başarı sırasına göre yedek aday olarak ilan edilir.</w:t>
      </w:r>
      <w:r w:rsidR="009D769B" w:rsidRPr="009D769B">
        <w:rPr>
          <w:rFonts w:eastAsiaTheme="minorHAnsi"/>
          <w:color w:val="000000" w:themeColor="text1"/>
          <w:lang w:eastAsia="en-US"/>
        </w:rPr>
        <w:t xml:space="preserve"> </w:t>
      </w:r>
      <w:r w:rsidR="009D769B" w:rsidRPr="009D769B">
        <w:rPr>
          <w:rFonts w:ascii="Times New Roman" w:eastAsiaTheme="minorHAnsi" w:hAnsi="Times New Roman" w:cs="Times New Roman"/>
          <w:color w:val="000000" w:themeColor="text1"/>
          <w:sz w:val="24"/>
          <w:szCs w:val="24"/>
          <w:lang w:eastAsia="en-US"/>
        </w:rPr>
        <w:t>Akademik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4376A8" w:rsidRDefault="009D769B" w:rsidP="009D769B">
      <w:pPr>
        <w:tabs>
          <w:tab w:val="left" w:pos="284"/>
          <w:tab w:val="left" w:pos="70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297AFF">
        <w:rPr>
          <w:rFonts w:ascii="Times New Roman" w:eastAsia="Times New Roman" w:hAnsi="Times New Roman" w:cs="Times New Roman"/>
          <w:sz w:val="24"/>
        </w:rPr>
        <w:t>(5) İlgili Komisyonlar öğrencinin daha önceki dönemlerde aldığı dersler ile yatay geçiş yaptığı programın derslerini dikkate alarak, senatonun belirlediği esaslara göre öğrencinin hangi yarıyıla veya sınıfa intibak ettirileceğini, alması ve muaf tutulması gereken dersleri belirler.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 Yatay geçişle gelen öğrencilerin önceki diploma programından aldığı ve başarılı olduğu derslerin notları transkripte işlenir.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9D769B" w:rsidRPr="009D769B">
        <w:rPr>
          <w:rFonts w:ascii="Times New Roman" w:eastAsia="Times New Roman" w:hAnsi="Times New Roman" w:cs="Times New Roman"/>
          <w:sz w:val="24"/>
        </w:rPr>
        <w:t xml:space="preserve">(Değişik S.K. </w:t>
      </w:r>
      <w:r w:rsidR="009D769B" w:rsidRPr="009D769B">
        <w:rPr>
          <w:rFonts w:ascii="Times New Roman" w:hAnsi="Times New Roman" w:cs="Times New Roman"/>
          <w:sz w:val="24"/>
          <w:szCs w:val="24"/>
        </w:rPr>
        <w:t>18.04.2023 tarihli, 146 sayılı)</w:t>
      </w:r>
      <w:r w:rsidR="009D769B">
        <w:rPr>
          <w:rFonts w:ascii="Times New Roman" w:hAnsi="Times New Roman" w:cs="Times New Roman"/>
          <w:b/>
          <w:sz w:val="24"/>
          <w:szCs w:val="24"/>
        </w:rPr>
        <w:t xml:space="preserve"> </w:t>
      </w:r>
      <w:r w:rsidR="009D769B" w:rsidRPr="00236374">
        <w:rPr>
          <w:rFonts w:ascii="Times New Roman" w:hAnsi="Times New Roman" w:cs="Times New Roman"/>
          <w:color w:val="000000" w:themeColor="text1"/>
          <w:sz w:val="24"/>
          <w:szCs w:val="24"/>
        </w:rPr>
        <w:t>4’lük sistemdeki notların 100’lük sisteme dönüştürülmesinde Yükseköğretim Kurulu’nun 4’lük Sistemdeki Notların 100’lük Sistemdeki Karşılıkları Tablosu kullanılır.</w:t>
      </w:r>
    </w:p>
    <w:p w:rsidR="004376A8" w:rsidRDefault="004376A8">
      <w:pPr>
        <w:spacing w:after="0" w:line="240" w:lineRule="auto"/>
        <w:jc w:val="both"/>
        <w:rPr>
          <w:rFonts w:ascii="Times New Roman" w:eastAsia="Times New Roman" w:hAnsi="Times New Roman" w:cs="Times New Roman"/>
          <w:sz w:val="24"/>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YEDİNCİ BÖLÜM</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Son Hükümler</w:t>
      </w:r>
    </w:p>
    <w:p w:rsidR="004376A8" w:rsidRDefault="004376A8">
      <w:pPr>
        <w:spacing w:after="0" w:line="240" w:lineRule="auto"/>
        <w:jc w:val="both"/>
        <w:rPr>
          <w:rFonts w:ascii="Times New Roman" w:eastAsia="Times New Roman" w:hAnsi="Times New Roman" w:cs="Times New Roman"/>
          <w:sz w:val="24"/>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Yürürlük</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11</w:t>
      </w:r>
      <w:r>
        <w:rPr>
          <w:rFonts w:ascii="Times New Roman" w:eastAsia="Times New Roman" w:hAnsi="Times New Roman" w:cs="Times New Roman"/>
          <w:sz w:val="24"/>
          <w:shd w:val="clear" w:color="auto" w:fill="FFFFFF"/>
        </w:rPr>
        <w:t> - (1) Bu Yönerge Üniversite Senatosu tarafından kabul edildiği tarihten itibaren yürürlüğe girer.</w:t>
      </w:r>
    </w:p>
    <w:p w:rsidR="004376A8" w:rsidRDefault="004376A8">
      <w:pPr>
        <w:spacing w:after="0" w:line="240" w:lineRule="auto"/>
        <w:jc w:val="both"/>
        <w:rPr>
          <w:rFonts w:ascii="Times New Roman" w:eastAsia="Times New Roman" w:hAnsi="Times New Roman" w:cs="Times New Roman"/>
          <w:b/>
          <w:sz w:val="24"/>
          <w:shd w:val="clear" w:color="auto" w:fill="FFFFFF"/>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Yürütme</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12</w:t>
      </w:r>
      <w:r>
        <w:rPr>
          <w:rFonts w:ascii="Times New Roman" w:eastAsia="Times New Roman" w:hAnsi="Times New Roman" w:cs="Times New Roman"/>
          <w:sz w:val="24"/>
          <w:shd w:val="clear" w:color="auto" w:fill="FFFFFF"/>
        </w:rPr>
        <w:t> - (1) Bu Yönerge hükümleri Kırklareli Üniversitesi Rektörü tarafından yürütülür.</w:t>
      </w:r>
    </w:p>
    <w:p w:rsidR="004376A8" w:rsidRDefault="004376A8">
      <w:pPr>
        <w:spacing w:after="0" w:line="240" w:lineRule="auto"/>
        <w:jc w:val="both"/>
        <w:rPr>
          <w:rFonts w:ascii="Times New Roman" w:eastAsia="Times New Roman" w:hAnsi="Times New Roman" w:cs="Times New Roman"/>
          <w:sz w:val="24"/>
        </w:rPr>
      </w:pPr>
    </w:p>
    <w:p w:rsidR="004376A8" w:rsidRDefault="004376A8">
      <w:pPr>
        <w:spacing w:after="0" w:line="240" w:lineRule="auto"/>
        <w:rPr>
          <w:rFonts w:ascii="Times New Roman" w:eastAsia="Times New Roman" w:hAnsi="Times New Roman" w:cs="Times New Roman"/>
          <w:sz w:val="24"/>
        </w:rPr>
      </w:pPr>
    </w:p>
    <w:sectPr w:rsidR="00437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A8"/>
    <w:rsid w:val="000748D1"/>
    <w:rsid w:val="00297AFF"/>
    <w:rsid w:val="003E5DF2"/>
    <w:rsid w:val="004376A8"/>
    <w:rsid w:val="00964628"/>
    <w:rsid w:val="009D769B"/>
    <w:rsid w:val="00F7510F"/>
    <w:rsid w:val="00FC6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10284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oidb</dc:creator>
  <cp:lastModifiedBy>M. Tahir İBİŞ</cp:lastModifiedBy>
  <cp:revision>2</cp:revision>
  <dcterms:created xsi:type="dcterms:W3CDTF">2023-07-19T07:24:00Z</dcterms:created>
  <dcterms:modified xsi:type="dcterms:W3CDTF">2023-07-19T07:24:00Z</dcterms:modified>
</cp:coreProperties>
</file>