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FD" w:rsidRPr="004B2C53" w:rsidRDefault="001535FD" w:rsidP="001535FD">
      <w:pPr>
        <w:spacing w:after="0" w:line="240" w:lineRule="auto"/>
        <w:contextualSpacing/>
        <w:jc w:val="center"/>
        <w:rPr>
          <w:rFonts w:ascii="Times New Roman" w:hAnsi="Times New Roman" w:cs="Times New Roman"/>
          <w:b/>
          <w:bCs/>
          <w:sz w:val="24"/>
          <w:szCs w:val="24"/>
        </w:rPr>
      </w:pPr>
      <w:r w:rsidRPr="004B2C53">
        <w:rPr>
          <w:rFonts w:ascii="Times New Roman" w:hAnsi="Times New Roman" w:cs="Times New Roman"/>
          <w:b/>
          <w:bCs/>
          <w:sz w:val="24"/>
          <w:szCs w:val="24"/>
        </w:rPr>
        <w:t>KIRKLARELİ ÜNİVERSİTESİ</w:t>
      </w:r>
    </w:p>
    <w:p w:rsidR="001535FD" w:rsidRPr="004B2C53" w:rsidRDefault="001535FD" w:rsidP="001535F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2023-2024 EĞİTİM-ÖĞRETİM YILI </w:t>
      </w:r>
      <w:r w:rsidRPr="004B2C53">
        <w:rPr>
          <w:rFonts w:ascii="Times New Roman" w:hAnsi="Times New Roman" w:cs="Times New Roman"/>
          <w:b/>
          <w:bCs/>
          <w:sz w:val="24"/>
          <w:szCs w:val="24"/>
        </w:rPr>
        <w:t>PEDAGOJİK FORMASYON EĞİTİMİ</w:t>
      </w:r>
      <w:r>
        <w:rPr>
          <w:rFonts w:ascii="Times New Roman" w:hAnsi="Times New Roman" w:cs="Times New Roman"/>
          <w:b/>
          <w:bCs/>
          <w:sz w:val="24"/>
          <w:szCs w:val="24"/>
        </w:rPr>
        <w:t xml:space="preserve"> </w:t>
      </w:r>
      <w:r w:rsidRPr="004B2C53">
        <w:rPr>
          <w:rFonts w:ascii="Times New Roman" w:hAnsi="Times New Roman" w:cs="Times New Roman"/>
          <w:b/>
          <w:bCs/>
          <w:sz w:val="24"/>
          <w:szCs w:val="24"/>
        </w:rPr>
        <w:t>UYGULAMA İLKELERİ</w:t>
      </w:r>
    </w:p>
    <w:p w:rsidR="001535FD" w:rsidRPr="000E7CC2" w:rsidRDefault="001535FD" w:rsidP="001535FD">
      <w:pPr>
        <w:spacing w:after="0" w:line="240" w:lineRule="auto"/>
        <w:contextualSpacing/>
        <w:jc w:val="center"/>
        <w:rPr>
          <w:rFonts w:ascii="Times New Roman" w:hAnsi="Times New Roman" w:cs="Times New Roman"/>
          <w:color w:val="000000" w:themeColor="text1"/>
          <w:sz w:val="24"/>
          <w:szCs w:val="24"/>
        </w:rPr>
      </w:pPr>
    </w:p>
    <w:p w:rsidR="001535FD" w:rsidRPr="000E7CC2" w:rsidRDefault="001535FD" w:rsidP="001535FD">
      <w:pPr>
        <w:spacing w:after="0" w:line="240" w:lineRule="auto"/>
        <w:contextualSpacing/>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Yükseköğretim Genel Kurulu’nun öğretmen yetiştiren fakülteler dışında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alınabilen alanlarda örgün eğitim ve öğretim süresi içinde pedagojik formasyon eğitiminin verilmesine ilişkin 24.01.2023 tarihli ve E.75850160-104.01.07.01-6264 sayılı yazısı gereğince, Üniversitemiz Pedagojik Formasyon Eğitimi Biriminin 07.09.2023 tarihli toplantısında </w:t>
      </w:r>
      <w:r>
        <w:rPr>
          <w:rFonts w:ascii="Times New Roman" w:hAnsi="Times New Roman" w:cs="Times New Roman"/>
          <w:color w:val="000000" w:themeColor="text1"/>
          <w:sz w:val="24"/>
          <w:szCs w:val="24"/>
        </w:rPr>
        <w:t>2023-2024 eğitim-öğretim</w:t>
      </w:r>
      <w:r w:rsidRPr="000E7CC2">
        <w:rPr>
          <w:rFonts w:ascii="Times New Roman" w:hAnsi="Times New Roman" w:cs="Times New Roman"/>
          <w:color w:val="000000" w:themeColor="text1"/>
          <w:sz w:val="24"/>
          <w:szCs w:val="24"/>
        </w:rPr>
        <w:t xml:space="preserve"> yılı için belirlenen Kırklareli Üniversitesi Pedagojik Formasyon Eğitimi Uygulama İlkeleri aşağıda sunulmuştur.</w:t>
      </w:r>
    </w:p>
    <w:p w:rsidR="001535FD" w:rsidRPr="000E7CC2" w:rsidRDefault="001535FD" w:rsidP="001535FD">
      <w:pPr>
        <w:spacing w:after="0" w:line="240" w:lineRule="auto"/>
        <w:contextualSpacing/>
        <w:jc w:val="both"/>
        <w:rPr>
          <w:rFonts w:ascii="Times New Roman" w:hAnsi="Times New Roman" w:cs="Times New Roman"/>
          <w:color w:val="000000" w:themeColor="text1"/>
          <w:sz w:val="24"/>
          <w:szCs w:val="24"/>
        </w:rPr>
      </w:pPr>
    </w:p>
    <w:p w:rsidR="001535FD" w:rsidRPr="000E7CC2" w:rsidRDefault="001535FD" w:rsidP="001535FD">
      <w:pPr>
        <w:spacing w:after="0" w:line="240" w:lineRule="auto"/>
        <w:contextualSpacing/>
        <w:jc w:val="both"/>
        <w:rPr>
          <w:rFonts w:ascii="Times New Roman" w:hAnsi="Times New Roman" w:cs="Times New Roman"/>
          <w:b/>
          <w:color w:val="000000" w:themeColor="text1"/>
          <w:sz w:val="24"/>
          <w:szCs w:val="24"/>
        </w:rPr>
      </w:pPr>
      <w:r w:rsidRPr="000E7CC2">
        <w:rPr>
          <w:rFonts w:ascii="Times New Roman" w:hAnsi="Times New Roman" w:cs="Times New Roman"/>
          <w:b/>
          <w:color w:val="000000" w:themeColor="text1"/>
          <w:sz w:val="24"/>
          <w:szCs w:val="24"/>
        </w:rPr>
        <w:t>Eğitim Planları:</w:t>
      </w:r>
    </w:p>
    <w:p w:rsidR="001535FD" w:rsidRDefault="001535FD" w:rsidP="001535FD">
      <w:pPr>
        <w:pStyle w:val="ListeParagraf"/>
        <w:numPr>
          <w:ilvl w:val="0"/>
          <w:numId w:val="1"/>
        </w:numPr>
        <w:spacing w:after="0" w:line="240" w:lineRule="auto"/>
        <w:ind w:left="454" w:hanging="454"/>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27.01.2023 tarihli ve 141 sayılı Senato kararı gereğince belirlenen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 planları, 2023-2024 eğitim-öğretim yılı güz ve bahar yarıyılında uygulanacaktır.</w:t>
      </w:r>
    </w:p>
    <w:p w:rsidR="001535FD" w:rsidRPr="000E7CC2" w:rsidRDefault="001535FD" w:rsidP="001535FD">
      <w:pPr>
        <w:pStyle w:val="ListeParagraf"/>
        <w:spacing w:after="0" w:line="240" w:lineRule="auto"/>
        <w:ind w:left="454"/>
        <w:jc w:val="both"/>
        <w:rPr>
          <w:rFonts w:ascii="Times New Roman" w:hAnsi="Times New Roman" w:cs="Times New Roman"/>
          <w:color w:val="000000" w:themeColor="text1"/>
          <w:sz w:val="24"/>
          <w:szCs w:val="24"/>
        </w:rPr>
      </w:pPr>
    </w:p>
    <w:tbl>
      <w:tblPr>
        <w:tblStyle w:val="TabloKlavuzu"/>
        <w:tblW w:w="8943" w:type="dxa"/>
        <w:tblInd w:w="137" w:type="dxa"/>
        <w:tblLook w:val="04A0" w:firstRow="1" w:lastRow="0" w:firstColumn="1" w:lastColumn="0" w:noHBand="0" w:noVBand="1"/>
      </w:tblPr>
      <w:tblGrid>
        <w:gridCol w:w="1133"/>
        <w:gridCol w:w="1244"/>
        <w:gridCol w:w="4144"/>
        <w:gridCol w:w="553"/>
        <w:gridCol w:w="554"/>
        <w:gridCol w:w="554"/>
        <w:gridCol w:w="761"/>
      </w:tblGrid>
      <w:tr w:rsidR="001535FD" w:rsidRPr="000E7CC2" w:rsidTr="00ED2A63">
        <w:trPr>
          <w:trHeight w:val="397"/>
        </w:trPr>
        <w:tc>
          <w:tcPr>
            <w:tcW w:w="1133"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Sınıf</w:t>
            </w:r>
          </w:p>
        </w:tc>
        <w:tc>
          <w:tcPr>
            <w:tcW w:w="124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Dönem</w:t>
            </w:r>
          </w:p>
        </w:tc>
        <w:tc>
          <w:tcPr>
            <w:tcW w:w="414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Dersler</w:t>
            </w:r>
          </w:p>
        </w:tc>
        <w:tc>
          <w:tcPr>
            <w:tcW w:w="553"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T</w:t>
            </w:r>
          </w:p>
        </w:tc>
        <w:tc>
          <w:tcPr>
            <w:tcW w:w="55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U</w:t>
            </w:r>
          </w:p>
        </w:tc>
        <w:tc>
          <w:tcPr>
            <w:tcW w:w="55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K</w:t>
            </w:r>
          </w:p>
        </w:tc>
        <w:tc>
          <w:tcPr>
            <w:tcW w:w="761" w:type="dxa"/>
            <w:vAlign w:val="center"/>
          </w:tcPr>
          <w:p w:rsidR="001535FD" w:rsidRPr="000E7CC2" w:rsidRDefault="001535FD" w:rsidP="00ED2A63">
            <w:pPr>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AKTS</w:t>
            </w:r>
          </w:p>
        </w:tc>
      </w:tr>
      <w:tr w:rsidR="001535FD" w:rsidRPr="000E7CC2" w:rsidTr="00ED2A63">
        <w:trPr>
          <w:trHeight w:val="397"/>
        </w:trPr>
        <w:tc>
          <w:tcPr>
            <w:tcW w:w="1133" w:type="dxa"/>
            <w:vMerge w:val="restart"/>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2. SINIF</w:t>
            </w:r>
          </w:p>
        </w:tc>
        <w:tc>
          <w:tcPr>
            <w:tcW w:w="1244"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 Yarıyıl</w:t>
            </w: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FRM23201 Eğitime Giriş</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FRM23203 Eğitim Psikolojisi</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restart"/>
            <w:vAlign w:val="center"/>
          </w:tcPr>
          <w:p w:rsidR="001535FD" w:rsidRPr="000E7CC2" w:rsidRDefault="001535FD" w:rsidP="00ED2A63">
            <w:pPr>
              <w:tabs>
                <w:tab w:val="left" w:pos="3120"/>
              </w:tabs>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 Yarıyıl</w:t>
            </w: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FRM23202 Öğretim Teknolojileri</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ign w:val="center"/>
          </w:tcPr>
          <w:p w:rsidR="001535FD" w:rsidRPr="000E7CC2" w:rsidRDefault="001535FD" w:rsidP="00ED2A63">
            <w:pPr>
              <w:tabs>
                <w:tab w:val="left" w:pos="3120"/>
              </w:tabs>
              <w:ind w:left="57"/>
              <w:contextualSpacing/>
              <w:rPr>
                <w:rFonts w:ascii="Times New Roman" w:hAnsi="Times New Roman" w:cs="Times New Roman"/>
                <w:color w:val="000000" w:themeColor="text1"/>
                <w:sz w:val="20"/>
                <w:szCs w:val="20"/>
              </w:rPr>
            </w:pP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FRM23204 Rehberlik ve Özel Eğitim</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33" w:type="dxa"/>
            <w:vMerge w:val="restart"/>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3. SINIF</w:t>
            </w:r>
          </w:p>
        </w:tc>
        <w:tc>
          <w:tcPr>
            <w:tcW w:w="1244"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5. Yarıyıl</w:t>
            </w: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FRM23301 Öğretim İlke ve Yöntemleri</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FRM23303 Sınıf Yönetimi</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6. Yarıyıl</w:t>
            </w: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FRM23302 Eğitimde Ölçme ve Değerlendirme</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44"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FRM23304 Özel Öğretim Yöntemleri</w:t>
            </w:r>
          </w:p>
        </w:tc>
        <w:tc>
          <w:tcPr>
            <w:tcW w:w="55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5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40"/>
        </w:trPr>
        <w:tc>
          <w:tcPr>
            <w:tcW w:w="1133" w:type="dxa"/>
            <w:vMerge w:val="restart"/>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4. SINIF</w:t>
            </w:r>
          </w:p>
        </w:tc>
        <w:tc>
          <w:tcPr>
            <w:tcW w:w="12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7. Yarıyıl</w:t>
            </w:r>
          </w:p>
        </w:tc>
        <w:tc>
          <w:tcPr>
            <w:tcW w:w="4144"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 xml:space="preserve">FRM23401 Öğretmenlik Uygulaması </w:t>
            </w:r>
          </w:p>
        </w:tc>
        <w:tc>
          <w:tcPr>
            <w:tcW w:w="553" w:type="dxa"/>
            <w:vMerge w:val="restart"/>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1</w:t>
            </w:r>
          </w:p>
        </w:tc>
        <w:tc>
          <w:tcPr>
            <w:tcW w:w="554" w:type="dxa"/>
            <w:vMerge w:val="restart"/>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8</w:t>
            </w:r>
          </w:p>
        </w:tc>
        <w:tc>
          <w:tcPr>
            <w:tcW w:w="554" w:type="dxa"/>
            <w:vMerge w:val="restart"/>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5</w:t>
            </w:r>
          </w:p>
        </w:tc>
        <w:tc>
          <w:tcPr>
            <w:tcW w:w="761" w:type="dxa"/>
            <w:vMerge w:val="restart"/>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10</w:t>
            </w:r>
          </w:p>
        </w:tc>
      </w:tr>
      <w:tr w:rsidR="001535FD" w:rsidRPr="000E7CC2" w:rsidTr="00ED2A63">
        <w:trPr>
          <w:trHeight w:val="397"/>
        </w:trPr>
        <w:tc>
          <w:tcPr>
            <w:tcW w:w="1133"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124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8. Yarıyıl</w:t>
            </w:r>
          </w:p>
        </w:tc>
        <w:tc>
          <w:tcPr>
            <w:tcW w:w="4144"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553" w:type="dxa"/>
            <w:vMerge/>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p>
        </w:tc>
        <w:tc>
          <w:tcPr>
            <w:tcW w:w="554" w:type="dxa"/>
            <w:vMerge/>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p>
        </w:tc>
        <w:tc>
          <w:tcPr>
            <w:tcW w:w="554" w:type="dxa"/>
            <w:vMerge/>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p>
        </w:tc>
        <w:tc>
          <w:tcPr>
            <w:tcW w:w="761" w:type="dxa"/>
            <w:vMerge/>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p>
        </w:tc>
      </w:tr>
      <w:tr w:rsidR="001535FD" w:rsidRPr="000E7CC2" w:rsidTr="00ED2A63">
        <w:trPr>
          <w:trHeight w:val="397"/>
        </w:trPr>
        <w:tc>
          <w:tcPr>
            <w:tcW w:w="6521" w:type="dxa"/>
            <w:gridSpan w:val="3"/>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Toplam</w:t>
            </w:r>
          </w:p>
        </w:tc>
        <w:tc>
          <w:tcPr>
            <w:tcW w:w="553" w:type="dxa"/>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23</w:t>
            </w:r>
          </w:p>
        </w:tc>
        <w:tc>
          <w:tcPr>
            <w:tcW w:w="554" w:type="dxa"/>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8</w:t>
            </w:r>
          </w:p>
        </w:tc>
        <w:tc>
          <w:tcPr>
            <w:tcW w:w="554" w:type="dxa"/>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27</w:t>
            </w:r>
          </w:p>
        </w:tc>
        <w:tc>
          <w:tcPr>
            <w:tcW w:w="761" w:type="dxa"/>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40</w:t>
            </w:r>
          </w:p>
        </w:tc>
      </w:tr>
    </w:tbl>
    <w:p w:rsidR="001535FD" w:rsidRPr="000E7CC2" w:rsidRDefault="001535FD" w:rsidP="001535FD">
      <w:pPr>
        <w:pStyle w:val="ListeParagraf"/>
        <w:spacing w:after="0" w:line="240" w:lineRule="auto"/>
        <w:ind w:left="454"/>
        <w:jc w:val="both"/>
        <w:rPr>
          <w:rFonts w:ascii="Times New Roman" w:hAnsi="Times New Roman" w:cs="Times New Roman"/>
          <w:color w:val="000000" w:themeColor="text1"/>
          <w:sz w:val="16"/>
          <w:szCs w:val="16"/>
        </w:rPr>
      </w:pP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Eğitim planlarına eklenen Pedagojik Formasyon Eğitimi Programı derslerinin AKTS kredisi toplamı 40 olup; öğrencinin lisans programı mezuniyeti için tamamlamak zorunda olduğu 240 AKTS kredisine, bu 40 AKTS ilave edilecektir.</w:t>
      </w:r>
    </w:p>
    <w:p w:rsidR="001535FD"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2023-2024 eğitim-öğretim yılı güz ve bahar yarıyılında lisans 2. sınıf öğrencileri için, aşağıda yer alan eğitim planındaki dersler açılacaktır.</w:t>
      </w:r>
    </w:p>
    <w:p w:rsidR="001535FD" w:rsidRDefault="001535FD" w:rsidP="001535FD">
      <w:pPr>
        <w:spacing w:after="0" w:line="240" w:lineRule="auto"/>
        <w:jc w:val="both"/>
        <w:rPr>
          <w:rFonts w:ascii="Times New Roman" w:hAnsi="Times New Roman" w:cs="Times New Roman"/>
          <w:color w:val="000000" w:themeColor="text1"/>
          <w:sz w:val="24"/>
          <w:szCs w:val="24"/>
        </w:rPr>
      </w:pPr>
    </w:p>
    <w:p w:rsidR="001535FD" w:rsidRPr="00AC7477" w:rsidRDefault="001535FD" w:rsidP="001535FD">
      <w:pPr>
        <w:spacing w:after="0" w:line="240" w:lineRule="auto"/>
        <w:jc w:val="both"/>
        <w:rPr>
          <w:rFonts w:ascii="Times New Roman" w:hAnsi="Times New Roman" w:cs="Times New Roman"/>
          <w:color w:val="000000" w:themeColor="text1"/>
          <w:sz w:val="24"/>
          <w:szCs w:val="24"/>
        </w:rPr>
      </w:pPr>
    </w:p>
    <w:tbl>
      <w:tblPr>
        <w:tblStyle w:val="TabloKlavuzu"/>
        <w:tblW w:w="8957" w:type="dxa"/>
        <w:tblInd w:w="137" w:type="dxa"/>
        <w:tblLook w:val="04A0" w:firstRow="1" w:lastRow="0" w:firstColumn="1" w:lastColumn="0" w:noHBand="0" w:noVBand="1"/>
      </w:tblPr>
      <w:tblGrid>
        <w:gridCol w:w="1170"/>
        <w:gridCol w:w="1288"/>
        <w:gridCol w:w="3994"/>
        <w:gridCol w:w="572"/>
        <w:gridCol w:w="573"/>
        <w:gridCol w:w="573"/>
        <w:gridCol w:w="787"/>
      </w:tblGrid>
      <w:tr w:rsidR="001535FD" w:rsidRPr="000E7CC2" w:rsidTr="00ED2A63">
        <w:trPr>
          <w:trHeight w:val="397"/>
        </w:trPr>
        <w:tc>
          <w:tcPr>
            <w:tcW w:w="1170"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Sınıf</w:t>
            </w:r>
          </w:p>
        </w:tc>
        <w:tc>
          <w:tcPr>
            <w:tcW w:w="1288"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Dönem</w:t>
            </w:r>
          </w:p>
        </w:tc>
        <w:tc>
          <w:tcPr>
            <w:tcW w:w="399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Dersler</w:t>
            </w:r>
          </w:p>
        </w:tc>
        <w:tc>
          <w:tcPr>
            <w:tcW w:w="572"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T</w:t>
            </w:r>
          </w:p>
        </w:tc>
        <w:tc>
          <w:tcPr>
            <w:tcW w:w="573"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U</w:t>
            </w:r>
          </w:p>
        </w:tc>
        <w:tc>
          <w:tcPr>
            <w:tcW w:w="573"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K</w:t>
            </w:r>
          </w:p>
        </w:tc>
        <w:tc>
          <w:tcPr>
            <w:tcW w:w="787" w:type="dxa"/>
            <w:vAlign w:val="center"/>
          </w:tcPr>
          <w:p w:rsidR="001535FD" w:rsidRPr="000E7CC2" w:rsidRDefault="001535FD" w:rsidP="00ED2A63">
            <w:pPr>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AKTS</w:t>
            </w:r>
          </w:p>
        </w:tc>
      </w:tr>
      <w:tr w:rsidR="001535FD" w:rsidRPr="000E7CC2" w:rsidTr="00ED2A63">
        <w:trPr>
          <w:trHeight w:val="397"/>
        </w:trPr>
        <w:tc>
          <w:tcPr>
            <w:tcW w:w="1170" w:type="dxa"/>
            <w:vMerge w:val="restart"/>
            <w:vAlign w:val="center"/>
          </w:tcPr>
          <w:p w:rsidR="002C2DA8"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2. SINIF</w:t>
            </w:r>
          </w:p>
          <w:p w:rsidR="002C2DA8" w:rsidRPr="002C2DA8" w:rsidRDefault="002C2DA8" w:rsidP="002C2DA8">
            <w:pPr>
              <w:rPr>
                <w:rFonts w:ascii="Times New Roman" w:hAnsi="Times New Roman" w:cs="Times New Roman"/>
                <w:sz w:val="20"/>
                <w:szCs w:val="20"/>
              </w:rPr>
            </w:pPr>
          </w:p>
          <w:p w:rsidR="001535FD" w:rsidRPr="002C2DA8" w:rsidRDefault="001535FD" w:rsidP="002C2DA8">
            <w:pPr>
              <w:rPr>
                <w:rFonts w:ascii="Times New Roman" w:hAnsi="Times New Roman" w:cs="Times New Roman"/>
                <w:sz w:val="20"/>
                <w:szCs w:val="20"/>
              </w:rPr>
            </w:pPr>
          </w:p>
        </w:tc>
        <w:tc>
          <w:tcPr>
            <w:tcW w:w="1288"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 Yarıyıl</w:t>
            </w:r>
          </w:p>
        </w:tc>
        <w:tc>
          <w:tcPr>
            <w:tcW w:w="399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FRM23201 Eğitime Giriş</w:t>
            </w:r>
          </w:p>
        </w:tc>
        <w:tc>
          <w:tcPr>
            <w:tcW w:w="57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8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70"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88"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399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FRM23203 Eğitim Psikolojisi</w:t>
            </w:r>
          </w:p>
        </w:tc>
        <w:tc>
          <w:tcPr>
            <w:tcW w:w="57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8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70"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88" w:type="dxa"/>
            <w:vMerge w:val="restart"/>
            <w:vAlign w:val="center"/>
          </w:tcPr>
          <w:p w:rsidR="001535FD" w:rsidRPr="000E7CC2" w:rsidRDefault="001535FD" w:rsidP="00ED2A63">
            <w:pPr>
              <w:tabs>
                <w:tab w:val="left" w:pos="3120"/>
              </w:tabs>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 Yarıyıl</w:t>
            </w:r>
          </w:p>
        </w:tc>
        <w:tc>
          <w:tcPr>
            <w:tcW w:w="399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FRM23202 Öğretim Teknolojileri</w:t>
            </w:r>
          </w:p>
        </w:tc>
        <w:tc>
          <w:tcPr>
            <w:tcW w:w="57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8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170"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288" w:type="dxa"/>
            <w:vMerge/>
            <w:vAlign w:val="center"/>
          </w:tcPr>
          <w:p w:rsidR="001535FD" w:rsidRPr="000E7CC2" w:rsidRDefault="001535FD" w:rsidP="00ED2A63">
            <w:pPr>
              <w:tabs>
                <w:tab w:val="left" w:pos="3120"/>
              </w:tabs>
              <w:ind w:left="57"/>
              <w:contextualSpacing/>
              <w:rPr>
                <w:rFonts w:ascii="Times New Roman" w:hAnsi="Times New Roman" w:cs="Times New Roman"/>
                <w:color w:val="000000" w:themeColor="text1"/>
                <w:sz w:val="20"/>
                <w:szCs w:val="20"/>
              </w:rPr>
            </w:pPr>
          </w:p>
        </w:tc>
        <w:tc>
          <w:tcPr>
            <w:tcW w:w="399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FRM23204 Rehberlik ve Özel Eğitim</w:t>
            </w:r>
          </w:p>
        </w:tc>
        <w:tc>
          <w:tcPr>
            <w:tcW w:w="57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73"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8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bl>
    <w:p w:rsidR="001535FD" w:rsidRPr="000E7CC2" w:rsidRDefault="001535FD" w:rsidP="001535FD">
      <w:pPr>
        <w:spacing w:after="0" w:line="240" w:lineRule="auto"/>
        <w:contextualSpacing/>
        <w:jc w:val="both"/>
        <w:rPr>
          <w:rFonts w:ascii="Times New Roman" w:hAnsi="Times New Roman" w:cs="Times New Roman"/>
          <w:color w:val="000000" w:themeColor="text1"/>
          <w:sz w:val="24"/>
          <w:szCs w:val="24"/>
        </w:rPr>
      </w:pPr>
    </w:p>
    <w:p w:rsidR="001535FD"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lastRenderedPageBreak/>
        <w:t>2023-2024 eğitim-öğretim yılı güz ve bahar dönemlerinde 3. ve 4. sınıf öğrencileri için, 2022-2023 eğitim-öğretim yılında ders almadıklarından dolayı, eğitim planındaki; 3. ve 5. yarıyıllardaki dersler güz döneminde, 4. ve 6. yarıyıllardaki dersler bahar döneminde aşağıda belirtildiği şekilde açılacaktır.</w:t>
      </w:r>
    </w:p>
    <w:p w:rsidR="001535FD" w:rsidRDefault="001535FD" w:rsidP="001535FD">
      <w:pPr>
        <w:pStyle w:val="ListeParagraf"/>
        <w:spacing w:after="0" w:line="240" w:lineRule="auto"/>
        <w:ind w:left="454"/>
        <w:jc w:val="both"/>
        <w:rPr>
          <w:rFonts w:ascii="Times New Roman" w:hAnsi="Times New Roman" w:cs="Times New Roman"/>
          <w:color w:val="000000" w:themeColor="text1"/>
          <w:sz w:val="24"/>
          <w:szCs w:val="24"/>
        </w:rPr>
      </w:pPr>
    </w:p>
    <w:tbl>
      <w:tblPr>
        <w:tblStyle w:val="TabloKlavuzu"/>
        <w:tblW w:w="8975" w:type="dxa"/>
        <w:tblInd w:w="137" w:type="dxa"/>
        <w:tblLook w:val="04A0" w:firstRow="1" w:lastRow="0" w:firstColumn="1" w:lastColumn="0" w:noHBand="0" w:noVBand="1"/>
      </w:tblPr>
      <w:tblGrid>
        <w:gridCol w:w="1111"/>
        <w:gridCol w:w="1393"/>
        <w:gridCol w:w="4080"/>
        <w:gridCol w:w="542"/>
        <w:gridCol w:w="544"/>
        <w:gridCol w:w="544"/>
        <w:gridCol w:w="761"/>
      </w:tblGrid>
      <w:tr w:rsidR="001535FD" w:rsidRPr="000E7CC2" w:rsidTr="00ED2A63">
        <w:trPr>
          <w:trHeight w:val="397"/>
        </w:trPr>
        <w:tc>
          <w:tcPr>
            <w:tcW w:w="1111"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Sınıf</w:t>
            </w:r>
          </w:p>
        </w:tc>
        <w:tc>
          <w:tcPr>
            <w:tcW w:w="1393" w:type="dxa"/>
            <w:vAlign w:val="center"/>
          </w:tcPr>
          <w:p w:rsidR="001535FD" w:rsidRPr="00991EC4" w:rsidRDefault="001535FD" w:rsidP="00ED2A63">
            <w:pPr>
              <w:ind w:left="57"/>
              <w:contextualSpacing/>
              <w:rPr>
                <w:rFonts w:ascii="Times New Roman" w:hAnsi="Times New Roman" w:cs="Times New Roman"/>
                <w:b/>
                <w:color w:val="000000" w:themeColor="text1"/>
                <w:sz w:val="20"/>
                <w:szCs w:val="20"/>
              </w:rPr>
            </w:pPr>
            <w:r w:rsidRPr="00991EC4">
              <w:rPr>
                <w:rFonts w:ascii="Times New Roman" w:hAnsi="Times New Roman" w:cs="Times New Roman"/>
                <w:b/>
                <w:color w:val="000000" w:themeColor="text1"/>
                <w:sz w:val="20"/>
                <w:szCs w:val="20"/>
              </w:rPr>
              <w:t>Dönem</w:t>
            </w:r>
          </w:p>
        </w:tc>
        <w:tc>
          <w:tcPr>
            <w:tcW w:w="4080"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Dersler</w:t>
            </w:r>
          </w:p>
        </w:tc>
        <w:tc>
          <w:tcPr>
            <w:tcW w:w="542"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T</w:t>
            </w:r>
          </w:p>
        </w:tc>
        <w:tc>
          <w:tcPr>
            <w:tcW w:w="54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U</w:t>
            </w:r>
          </w:p>
        </w:tc>
        <w:tc>
          <w:tcPr>
            <w:tcW w:w="54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K</w:t>
            </w:r>
          </w:p>
        </w:tc>
        <w:tc>
          <w:tcPr>
            <w:tcW w:w="761" w:type="dxa"/>
            <w:vAlign w:val="center"/>
          </w:tcPr>
          <w:p w:rsidR="001535FD" w:rsidRPr="000E7CC2" w:rsidRDefault="001535FD" w:rsidP="00ED2A63">
            <w:pPr>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AKTS</w:t>
            </w:r>
          </w:p>
        </w:tc>
      </w:tr>
      <w:tr w:rsidR="001535FD" w:rsidRPr="000E7CC2" w:rsidTr="00ED2A63">
        <w:trPr>
          <w:trHeight w:val="397"/>
        </w:trPr>
        <w:tc>
          <w:tcPr>
            <w:tcW w:w="1111" w:type="dxa"/>
            <w:vMerge w:val="restart"/>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3. SINIF ve</w:t>
            </w:r>
          </w:p>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4. SINIF</w:t>
            </w:r>
          </w:p>
        </w:tc>
        <w:tc>
          <w:tcPr>
            <w:tcW w:w="1393" w:type="dxa"/>
            <w:vMerge w:val="restart"/>
            <w:vAlign w:val="center"/>
          </w:tcPr>
          <w:p w:rsidR="001535FD" w:rsidRPr="00991EC4" w:rsidRDefault="001535FD" w:rsidP="00ED2A63">
            <w:pPr>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Güz Döneminde</w:t>
            </w:r>
          </w:p>
          <w:p w:rsidR="001535FD" w:rsidRPr="00991EC4" w:rsidRDefault="001535FD" w:rsidP="00ED2A63">
            <w:pPr>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3. Yarıyıl</w:t>
            </w:r>
          </w:p>
          <w:p w:rsidR="001535FD" w:rsidRPr="00991EC4" w:rsidRDefault="001535FD" w:rsidP="00ED2A63">
            <w:pPr>
              <w:tabs>
                <w:tab w:val="left" w:pos="3120"/>
              </w:tabs>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5. Yarıyıl</w:t>
            </w:r>
          </w:p>
          <w:p w:rsidR="001535FD" w:rsidRPr="00991EC4" w:rsidRDefault="001535FD" w:rsidP="00ED2A63">
            <w:pPr>
              <w:tabs>
                <w:tab w:val="left" w:pos="3120"/>
              </w:tabs>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Dersleri</w:t>
            </w: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FRM23201 Eğitime Giriş</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tabs>
                <w:tab w:val="left" w:pos="3120"/>
              </w:tabs>
              <w:ind w:left="57"/>
              <w:contextualSpacing/>
              <w:jc w:val="center"/>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FRM23203 Eğitim Psikolojisi</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tabs>
                <w:tab w:val="left" w:pos="3120"/>
              </w:tabs>
              <w:ind w:left="57"/>
              <w:contextualSpacing/>
              <w:jc w:val="center"/>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FRM23301 Öğretim İlke ve Yöntemleri</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tabs>
                <w:tab w:val="left" w:pos="3120"/>
              </w:tabs>
              <w:ind w:left="57"/>
              <w:contextualSpacing/>
              <w:jc w:val="center"/>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FRM23303 Sınıf Yönetimi</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restart"/>
            <w:vAlign w:val="center"/>
          </w:tcPr>
          <w:p w:rsidR="001535FD" w:rsidRPr="00991EC4" w:rsidRDefault="001535FD" w:rsidP="00ED2A63">
            <w:pPr>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Bahar Döneminde 4. Yarıyıl</w:t>
            </w:r>
          </w:p>
          <w:p w:rsidR="001535FD" w:rsidRPr="00991EC4" w:rsidRDefault="001535FD" w:rsidP="00ED2A63">
            <w:pPr>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6. Yarıyıl</w:t>
            </w:r>
          </w:p>
          <w:p w:rsidR="001535FD" w:rsidRPr="00991EC4" w:rsidRDefault="001535FD" w:rsidP="00ED2A63">
            <w:pPr>
              <w:ind w:left="57"/>
              <w:contextualSpacing/>
              <w:jc w:val="center"/>
              <w:rPr>
                <w:rFonts w:ascii="Times New Roman" w:hAnsi="Times New Roman" w:cs="Times New Roman"/>
                <w:color w:val="000000" w:themeColor="text1"/>
                <w:sz w:val="20"/>
                <w:szCs w:val="20"/>
              </w:rPr>
            </w:pPr>
            <w:r w:rsidRPr="00991EC4">
              <w:rPr>
                <w:rFonts w:ascii="Times New Roman" w:hAnsi="Times New Roman" w:cs="Times New Roman"/>
                <w:color w:val="000000" w:themeColor="text1"/>
                <w:sz w:val="20"/>
                <w:szCs w:val="20"/>
              </w:rPr>
              <w:t>Dersleri</w:t>
            </w: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FRM23202 Öğretim Teknolojileri</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ind w:left="57"/>
              <w:contextualSpacing/>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FRM23204 Rehberlik ve Özel Eğitim</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ind w:left="57"/>
              <w:contextualSpacing/>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FRM23302 Eğitimde Ölçme ve Değerlendirme</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111"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393" w:type="dxa"/>
            <w:vMerge/>
            <w:vAlign w:val="center"/>
          </w:tcPr>
          <w:p w:rsidR="001535FD" w:rsidRPr="00991EC4" w:rsidRDefault="001535FD" w:rsidP="00ED2A63">
            <w:pPr>
              <w:ind w:left="57"/>
              <w:contextualSpacing/>
              <w:rPr>
                <w:rFonts w:ascii="Times New Roman" w:hAnsi="Times New Roman" w:cs="Times New Roman"/>
                <w:color w:val="000000" w:themeColor="text1"/>
                <w:sz w:val="20"/>
                <w:szCs w:val="20"/>
              </w:rPr>
            </w:pPr>
          </w:p>
        </w:tc>
        <w:tc>
          <w:tcPr>
            <w:tcW w:w="4080"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FRM23304 Özel Öğretim Yöntemleri</w:t>
            </w:r>
          </w:p>
        </w:tc>
        <w:tc>
          <w:tcPr>
            <w:tcW w:w="542"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4"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bl>
    <w:p w:rsidR="001535FD" w:rsidRDefault="001535FD" w:rsidP="001535FD">
      <w:pPr>
        <w:pStyle w:val="ListeParagraf"/>
        <w:spacing w:after="0" w:line="240" w:lineRule="auto"/>
        <w:ind w:left="454"/>
        <w:jc w:val="both"/>
        <w:rPr>
          <w:rFonts w:ascii="Times New Roman" w:hAnsi="Times New Roman" w:cs="Times New Roman"/>
          <w:color w:val="000000" w:themeColor="text1"/>
          <w:sz w:val="24"/>
          <w:szCs w:val="24"/>
        </w:rPr>
      </w:pPr>
    </w:p>
    <w:p w:rsidR="001535FD"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2022-2023 bahar döneminde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programına kaydolup, mezun durumda olan 4. Sınıf öğrencileri; 2022-2023 öğretim yılında ders almadıklarından dolayı, aşağıda yer alan eğitim planındaki derslerin tümü 2023-2024 eğitim-öğretim yılı güz döneminde açılacaktır.</w:t>
      </w:r>
    </w:p>
    <w:p w:rsidR="001535FD" w:rsidRPr="000E7CC2" w:rsidRDefault="001535FD" w:rsidP="001535FD">
      <w:pPr>
        <w:pStyle w:val="ListeParagraf"/>
        <w:spacing w:after="0" w:line="240" w:lineRule="auto"/>
        <w:ind w:left="454"/>
        <w:jc w:val="both"/>
        <w:rPr>
          <w:rFonts w:ascii="Times New Roman" w:hAnsi="Times New Roman" w:cs="Times New Roman"/>
          <w:color w:val="000000" w:themeColor="text1"/>
          <w:sz w:val="24"/>
          <w:szCs w:val="24"/>
        </w:rPr>
      </w:pPr>
    </w:p>
    <w:tbl>
      <w:tblPr>
        <w:tblStyle w:val="TabloKlavuzu"/>
        <w:tblW w:w="8943" w:type="dxa"/>
        <w:tblInd w:w="137" w:type="dxa"/>
        <w:tblLook w:val="04A0" w:firstRow="1" w:lastRow="0" w:firstColumn="1" w:lastColumn="0" w:noHBand="0" w:noVBand="1"/>
      </w:tblPr>
      <w:tblGrid>
        <w:gridCol w:w="1329"/>
        <w:gridCol w:w="1081"/>
        <w:gridCol w:w="4134"/>
        <w:gridCol w:w="545"/>
        <w:gridCol w:w="546"/>
        <w:gridCol w:w="547"/>
        <w:gridCol w:w="761"/>
      </w:tblGrid>
      <w:tr w:rsidR="001535FD" w:rsidRPr="000E7CC2" w:rsidTr="00ED2A63">
        <w:trPr>
          <w:trHeight w:val="397"/>
        </w:trPr>
        <w:tc>
          <w:tcPr>
            <w:tcW w:w="1329"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Sınıf</w:t>
            </w:r>
          </w:p>
        </w:tc>
        <w:tc>
          <w:tcPr>
            <w:tcW w:w="1081"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Dönem</w:t>
            </w:r>
          </w:p>
        </w:tc>
        <w:tc>
          <w:tcPr>
            <w:tcW w:w="4134"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Dersler</w:t>
            </w:r>
          </w:p>
        </w:tc>
        <w:tc>
          <w:tcPr>
            <w:tcW w:w="545"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T</w:t>
            </w:r>
          </w:p>
        </w:tc>
        <w:tc>
          <w:tcPr>
            <w:tcW w:w="546"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U</w:t>
            </w:r>
          </w:p>
        </w:tc>
        <w:tc>
          <w:tcPr>
            <w:tcW w:w="547" w:type="dxa"/>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K</w:t>
            </w:r>
          </w:p>
        </w:tc>
        <w:tc>
          <w:tcPr>
            <w:tcW w:w="761" w:type="dxa"/>
            <w:vAlign w:val="center"/>
          </w:tcPr>
          <w:p w:rsidR="001535FD" w:rsidRPr="000E7CC2" w:rsidRDefault="001535FD" w:rsidP="00ED2A63">
            <w:pPr>
              <w:contextualSpacing/>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AKTS</w:t>
            </w:r>
          </w:p>
        </w:tc>
      </w:tr>
      <w:tr w:rsidR="001535FD" w:rsidRPr="000E7CC2" w:rsidTr="00ED2A63">
        <w:trPr>
          <w:trHeight w:val="397"/>
        </w:trPr>
        <w:tc>
          <w:tcPr>
            <w:tcW w:w="1329" w:type="dxa"/>
            <w:vMerge w:val="restart"/>
            <w:vAlign w:val="center"/>
          </w:tcPr>
          <w:p w:rsidR="001535FD" w:rsidRPr="000E7CC2" w:rsidRDefault="001535FD" w:rsidP="00ED2A63">
            <w:pPr>
              <w:ind w:left="57"/>
              <w:contextualSpacing/>
              <w:jc w:val="center"/>
              <w:rPr>
                <w:rFonts w:ascii="Times New Roman" w:hAnsi="Times New Roman" w:cs="Times New Roman"/>
                <w:b/>
                <w:color w:val="000000" w:themeColor="text1"/>
                <w:sz w:val="20"/>
                <w:szCs w:val="20"/>
              </w:rPr>
            </w:pPr>
            <w:r w:rsidRPr="000E7CC2">
              <w:rPr>
                <w:rFonts w:ascii="Times New Roman" w:hAnsi="Times New Roman" w:cs="Times New Roman"/>
                <w:b/>
                <w:color w:val="000000" w:themeColor="text1"/>
                <w:sz w:val="20"/>
                <w:szCs w:val="20"/>
              </w:rPr>
              <w:t>MEZUN DURUMDA 4. SINIF</w:t>
            </w:r>
          </w:p>
        </w:tc>
        <w:tc>
          <w:tcPr>
            <w:tcW w:w="1081"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 Yarıyıl</w:t>
            </w: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FRM23201 Eğitime Giriş</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FRM23203 Eğitim Psikolojisi</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restart"/>
            <w:vAlign w:val="center"/>
          </w:tcPr>
          <w:p w:rsidR="001535FD" w:rsidRPr="003875CE" w:rsidRDefault="001535FD" w:rsidP="003875CE">
            <w:pPr>
              <w:tabs>
                <w:tab w:val="left" w:pos="3120"/>
              </w:tabs>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 Yarıyıl</w:t>
            </w: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FRM23202 Öğretim Teknolojileri</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ign w:val="center"/>
          </w:tcPr>
          <w:p w:rsidR="001535FD" w:rsidRPr="000E7CC2" w:rsidRDefault="001535FD" w:rsidP="00ED2A63">
            <w:pPr>
              <w:tabs>
                <w:tab w:val="left" w:pos="3120"/>
              </w:tabs>
              <w:ind w:left="57"/>
              <w:contextualSpacing/>
              <w:rPr>
                <w:rFonts w:ascii="Times New Roman" w:hAnsi="Times New Roman" w:cs="Times New Roman"/>
                <w:color w:val="000000" w:themeColor="text1"/>
                <w:sz w:val="20"/>
                <w:szCs w:val="20"/>
              </w:rPr>
            </w:pP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FRM23204 Rehberlik ve Özel Eğitim</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5. Yarıyıl</w:t>
            </w: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FRM23301 Öğretim İlke ve Yöntemleri</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FRM23303 Sınıf Yönetimi</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2</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restart"/>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6. Yarıyıl</w:t>
            </w: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FRM23302 Eğitimde Ölçme ve Değerlendirme</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397"/>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Merge/>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FRM23304 Özel Öğretim Yöntemleri</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0</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3</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4</w:t>
            </w:r>
          </w:p>
        </w:tc>
      </w:tr>
      <w:tr w:rsidR="001535FD" w:rsidRPr="000E7CC2" w:rsidTr="00ED2A63">
        <w:trPr>
          <w:trHeight w:val="454"/>
        </w:trPr>
        <w:tc>
          <w:tcPr>
            <w:tcW w:w="1329" w:type="dxa"/>
            <w:vMerge/>
            <w:vAlign w:val="center"/>
          </w:tcPr>
          <w:p w:rsidR="001535FD" w:rsidRPr="000E7CC2" w:rsidRDefault="001535FD" w:rsidP="00ED2A63">
            <w:pPr>
              <w:ind w:left="57"/>
              <w:contextualSpacing/>
              <w:rPr>
                <w:rFonts w:ascii="Times New Roman" w:hAnsi="Times New Roman" w:cs="Times New Roman"/>
                <w:b/>
                <w:color w:val="000000" w:themeColor="text1"/>
                <w:sz w:val="20"/>
                <w:szCs w:val="20"/>
              </w:rPr>
            </w:pPr>
          </w:p>
        </w:tc>
        <w:tc>
          <w:tcPr>
            <w:tcW w:w="1081"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7. Yarıyıl</w:t>
            </w:r>
          </w:p>
        </w:tc>
        <w:tc>
          <w:tcPr>
            <w:tcW w:w="4134" w:type="dxa"/>
            <w:vAlign w:val="center"/>
          </w:tcPr>
          <w:p w:rsidR="001535FD" w:rsidRPr="000E7CC2" w:rsidRDefault="001535FD" w:rsidP="00ED2A63">
            <w:pPr>
              <w:ind w:left="57"/>
              <w:contextualSpacing/>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 xml:space="preserve">FRM23401 Öğretmenlik Uygulaması </w:t>
            </w:r>
          </w:p>
        </w:tc>
        <w:tc>
          <w:tcPr>
            <w:tcW w:w="545"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1</w:t>
            </w:r>
          </w:p>
        </w:tc>
        <w:tc>
          <w:tcPr>
            <w:tcW w:w="546"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8</w:t>
            </w:r>
          </w:p>
        </w:tc>
        <w:tc>
          <w:tcPr>
            <w:tcW w:w="547"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5</w:t>
            </w:r>
          </w:p>
        </w:tc>
        <w:tc>
          <w:tcPr>
            <w:tcW w:w="761" w:type="dxa"/>
            <w:vAlign w:val="center"/>
          </w:tcPr>
          <w:p w:rsidR="001535FD" w:rsidRPr="000E7CC2" w:rsidRDefault="001535FD" w:rsidP="00ED2A63">
            <w:pPr>
              <w:ind w:left="57"/>
              <w:contextualSpacing/>
              <w:jc w:val="center"/>
              <w:rPr>
                <w:rFonts w:ascii="Times New Roman" w:hAnsi="Times New Roman" w:cs="Times New Roman"/>
                <w:color w:val="000000" w:themeColor="text1"/>
                <w:sz w:val="20"/>
                <w:szCs w:val="20"/>
              </w:rPr>
            </w:pPr>
            <w:r w:rsidRPr="000E7CC2">
              <w:rPr>
                <w:rFonts w:ascii="Times New Roman" w:hAnsi="Times New Roman" w:cs="Times New Roman"/>
                <w:color w:val="000000" w:themeColor="text1"/>
                <w:sz w:val="20"/>
                <w:szCs w:val="20"/>
              </w:rPr>
              <w:t>10</w:t>
            </w:r>
          </w:p>
        </w:tc>
      </w:tr>
    </w:tbl>
    <w:p w:rsidR="001535FD" w:rsidRPr="000E7CC2" w:rsidRDefault="001535FD" w:rsidP="001535FD">
      <w:pPr>
        <w:pStyle w:val="ListeParagraf"/>
        <w:spacing w:after="0" w:line="240" w:lineRule="auto"/>
        <w:ind w:left="454"/>
        <w:jc w:val="both"/>
        <w:rPr>
          <w:rFonts w:ascii="Times New Roman" w:hAnsi="Times New Roman" w:cs="Times New Roman"/>
          <w:color w:val="000000" w:themeColor="text1"/>
          <w:sz w:val="24"/>
          <w:szCs w:val="24"/>
        </w:rPr>
      </w:pPr>
    </w:p>
    <w:p w:rsidR="001535FD" w:rsidRPr="000E7CC2" w:rsidRDefault="001535FD" w:rsidP="001535FD">
      <w:pPr>
        <w:spacing w:after="0" w:line="240" w:lineRule="auto"/>
        <w:ind w:left="454" w:hanging="397"/>
        <w:contextualSpacing/>
        <w:jc w:val="both"/>
        <w:rPr>
          <w:rFonts w:ascii="Times New Roman" w:hAnsi="Times New Roman" w:cs="Times New Roman"/>
          <w:b/>
          <w:color w:val="000000" w:themeColor="text1"/>
          <w:sz w:val="24"/>
          <w:szCs w:val="24"/>
        </w:rPr>
      </w:pPr>
      <w:r w:rsidRPr="000E7CC2">
        <w:rPr>
          <w:rFonts w:ascii="Times New Roman" w:hAnsi="Times New Roman" w:cs="Times New Roman"/>
          <w:b/>
          <w:color w:val="000000" w:themeColor="text1"/>
          <w:sz w:val="24"/>
          <w:szCs w:val="24"/>
        </w:rPr>
        <w:t>Öğrenci Başvuruları:</w:t>
      </w: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Millî Eğitim Bakanlığı Talim ve Terbiye Kurulunun 20.02.2014 tarihli ve 9 sayılı ‘Öğretmenlik Alanları, Atama ve Ders Okutma </w:t>
      </w:r>
      <w:proofErr w:type="spellStart"/>
      <w:r w:rsidRPr="000E7CC2">
        <w:rPr>
          <w:rFonts w:ascii="Times New Roman" w:hAnsi="Times New Roman" w:cs="Times New Roman"/>
          <w:color w:val="000000" w:themeColor="text1"/>
          <w:sz w:val="24"/>
          <w:szCs w:val="24"/>
        </w:rPr>
        <w:t>Esasları’nda</w:t>
      </w:r>
      <w:proofErr w:type="spellEnd"/>
      <w:r w:rsidRPr="000E7CC2">
        <w:rPr>
          <w:rFonts w:ascii="Times New Roman" w:hAnsi="Times New Roman" w:cs="Times New Roman"/>
          <w:color w:val="000000" w:themeColor="text1"/>
          <w:sz w:val="24"/>
          <w:szCs w:val="24"/>
        </w:rPr>
        <w:t xml:space="preserve"> yer alan tüm programlarda öğrenim gören öğrencilerden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almayı talep eden öğrenciler, kayıtlı oldukları programın eğitim planındaki dersler dışında, plana eklenen pedagojik formasyon eğitimi derslerini almak ve başarmak zorundadır. </w:t>
      </w: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Bölüm başkanlılarında,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kapsamında öğrenci başvurularını almak ve danışmanlık desteği sunmak için bir danışman öğretim elemanı görevlendirilecektir.</w:t>
      </w:r>
    </w:p>
    <w:p w:rsidR="001535FD" w:rsidRDefault="001535FD" w:rsidP="001535FD">
      <w:pPr>
        <w:pStyle w:val="ListeParagraf"/>
        <w:numPr>
          <w:ilvl w:val="0"/>
          <w:numId w:val="1"/>
        </w:numPr>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lastRenderedPageBreak/>
        <w:t xml:space="preserve">Öğrenciler akademik danışmanlarından bilgi edindikten sonra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başvurularını, </w:t>
      </w:r>
      <w:r>
        <w:rPr>
          <w:rFonts w:ascii="Times New Roman" w:hAnsi="Times New Roman" w:cs="Times New Roman"/>
          <w:color w:val="000000" w:themeColor="text1"/>
          <w:sz w:val="24"/>
          <w:szCs w:val="24"/>
        </w:rPr>
        <w:t>Başvuru</w:t>
      </w:r>
      <w:r w:rsidRPr="000E7CC2">
        <w:rPr>
          <w:rFonts w:ascii="Times New Roman" w:hAnsi="Times New Roman" w:cs="Times New Roman"/>
          <w:color w:val="000000" w:themeColor="text1"/>
          <w:sz w:val="24"/>
          <w:szCs w:val="24"/>
        </w:rPr>
        <w:t xml:space="preserve"> Dilekçesini doldurarak </w:t>
      </w:r>
      <w:r w:rsidRPr="000E7CC2">
        <w:rPr>
          <w:rFonts w:ascii="Times New Roman" w:hAnsi="Times New Roman" w:cs="Times New Roman"/>
          <w:b/>
          <w:color w:val="000000" w:themeColor="text1"/>
          <w:sz w:val="24"/>
          <w:szCs w:val="24"/>
        </w:rPr>
        <w:t>25-29 Eylül 2023</w:t>
      </w:r>
      <w:r w:rsidRPr="000E7CC2">
        <w:rPr>
          <w:rFonts w:ascii="Times New Roman" w:hAnsi="Times New Roman" w:cs="Times New Roman"/>
          <w:color w:val="000000" w:themeColor="text1"/>
          <w:sz w:val="24"/>
          <w:szCs w:val="24"/>
        </w:rPr>
        <w:t xml:space="preserve"> tarihleri arasında kayıtlı oldukları programın bölüm başkanlıklarına yapacaktır. Bölüm başkanlıklarına yapılan başvurular, birim yönetimine iletilecektir. </w:t>
      </w:r>
    </w:p>
    <w:p w:rsidR="001535FD" w:rsidRPr="002C2DA8" w:rsidRDefault="001535FD" w:rsidP="002C2DA8">
      <w:pPr>
        <w:spacing w:after="0" w:line="240" w:lineRule="auto"/>
        <w:jc w:val="both"/>
        <w:rPr>
          <w:rFonts w:ascii="Times New Roman" w:hAnsi="Times New Roman" w:cs="Times New Roman"/>
          <w:color w:val="000000" w:themeColor="text1"/>
          <w:sz w:val="24"/>
          <w:szCs w:val="24"/>
        </w:rPr>
      </w:pPr>
      <w:bookmarkStart w:id="0" w:name="_GoBack"/>
      <w:bookmarkEnd w:id="0"/>
    </w:p>
    <w:p w:rsidR="001535FD" w:rsidRPr="000E7CC2" w:rsidRDefault="001535FD" w:rsidP="001535FD">
      <w:pPr>
        <w:spacing w:after="0" w:line="240" w:lineRule="auto"/>
        <w:ind w:left="454" w:hanging="397"/>
        <w:contextualSpacing/>
        <w:jc w:val="both"/>
        <w:rPr>
          <w:rFonts w:ascii="Times New Roman" w:hAnsi="Times New Roman" w:cs="Times New Roman"/>
          <w:b/>
          <w:color w:val="000000" w:themeColor="text1"/>
          <w:sz w:val="24"/>
          <w:szCs w:val="24"/>
        </w:rPr>
      </w:pPr>
      <w:r w:rsidRPr="000E7CC2">
        <w:rPr>
          <w:rFonts w:ascii="Times New Roman" w:hAnsi="Times New Roman" w:cs="Times New Roman"/>
          <w:b/>
          <w:color w:val="000000" w:themeColor="text1"/>
          <w:sz w:val="24"/>
          <w:szCs w:val="24"/>
        </w:rPr>
        <w:t>Öğretim ve Yürütme Süreci:</w:t>
      </w: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formasyona</w:t>
      </w:r>
      <w:proofErr w:type="gramEnd"/>
      <w:r w:rsidRPr="000E7CC2">
        <w:rPr>
          <w:rFonts w:ascii="Times New Roman" w:hAnsi="Times New Roman" w:cs="Times New Roman"/>
          <w:color w:val="000000" w:themeColor="text1"/>
          <w:sz w:val="24"/>
          <w:szCs w:val="24"/>
        </w:rPr>
        <w:t xml:space="preserve"> ilişkin tüm eğitim-öğretim süreçleri, Kırklareli Üniversitesi 2023-2024 Ön Lisans ve Lisans Akademik Takvimine göre yürütülecektir.</w:t>
      </w: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eğitim-öğretimi, Fen-Edebiyat Fakültesi Eğitim Bilimleri Bölümü tarafından yürütülecektir.</w:t>
      </w:r>
    </w:p>
    <w:p w:rsidR="001535FD" w:rsidRPr="000E7CC2" w:rsidRDefault="001535FD" w:rsidP="001535FD">
      <w:pPr>
        <w:pStyle w:val="ListeParagraf"/>
        <w:numPr>
          <w:ilvl w:val="0"/>
          <w:numId w:val="1"/>
        </w:numPr>
        <w:spacing w:after="0" w:line="240" w:lineRule="auto"/>
        <w:ind w:left="454" w:hanging="397"/>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eğitimine başvuran öğrenciler, Kırklareli Üniversitesi Ön Lisans ve Lisans Eğitim ve Öğretim Yönetmeliği'nin "Ders yükü ve ders alma esasları" başlıklı 19 uncu maddesinde yer alan hükümler doğrultusunda, ders kayıt döneminde açılacak formasyon eğitimi programı derslerini alabileceklerdir. (Örneğin; a</w:t>
      </w:r>
      <w:r w:rsidRPr="000E7CC2">
        <w:rPr>
          <w:rFonts w:ascii="Times New Roman" w:eastAsia="Calibri" w:hAnsi="Times New Roman" w:cs="Times New Roman"/>
          <w:color w:val="000000" w:themeColor="text1"/>
          <w:sz w:val="24"/>
          <w:szCs w:val="24"/>
        </w:rPr>
        <w:t>lt yarıyıllardan alacağı derslerle, kayıt yaptıracakları yarıyıldaki derslerin kredilerinin toplamı</w:t>
      </w:r>
      <w:r w:rsidRPr="000E7CC2">
        <w:rPr>
          <w:rFonts w:ascii="Times New Roman" w:eastAsia="Calibri" w:hAnsi="Times New Roman" w:cs="Times New Roman"/>
          <w:color w:val="000000" w:themeColor="text1"/>
          <w:sz w:val="20"/>
          <w:szCs w:val="20"/>
        </w:rPr>
        <w:t xml:space="preserve"> </w:t>
      </w:r>
      <w:r w:rsidRPr="000E7CC2">
        <w:rPr>
          <w:rFonts w:ascii="Times New Roman" w:hAnsi="Times New Roman" w:cs="Times New Roman"/>
          <w:color w:val="000000" w:themeColor="text1"/>
          <w:sz w:val="24"/>
          <w:szCs w:val="24"/>
        </w:rPr>
        <w:t xml:space="preserve">40 AKTS kredi yükünü aşmayacak olan öğrenci, öncelikle bölüm eğitim planındaki alması gereken dersleri, şayet alabileceği AKTS üst sınırını doldurmamış ise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dersleri ile birlikte toplamda 45 </w:t>
      </w:r>
      <w:proofErr w:type="spellStart"/>
      <w:r w:rsidRPr="000E7CC2">
        <w:rPr>
          <w:rFonts w:ascii="Times New Roman" w:hAnsi="Times New Roman" w:cs="Times New Roman"/>
          <w:color w:val="000000" w:themeColor="text1"/>
          <w:sz w:val="24"/>
          <w:szCs w:val="24"/>
        </w:rPr>
        <w:t>AKTS’ye</w:t>
      </w:r>
      <w:proofErr w:type="spellEnd"/>
      <w:r w:rsidRPr="000E7CC2">
        <w:rPr>
          <w:rFonts w:ascii="Times New Roman" w:hAnsi="Times New Roman" w:cs="Times New Roman"/>
          <w:color w:val="000000" w:themeColor="text1"/>
          <w:sz w:val="24"/>
          <w:szCs w:val="24"/>
        </w:rPr>
        <w:t xml:space="preserve"> kadar ders alabilecektir.)</w:t>
      </w:r>
    </w:p>
    <w:p w:rsidR="001535FD" w:rsidRPr="000E7CC2" w:rsidRDefault="001535FD" w:rsidP="001535FD">
      <w:pPr>
        <w:pStyle w:val="ListeParagraf"/>
        <w:numPr>
          <w:ilvl w:val="0"/>
          <w:numId w:val="1"/>
        </w:numPr>
        <w:spacing w:after="0" w:line="240" w:lineRule="auto"/>
        <w:ind w:left="511" w:hanging="454"/>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Birimlerdeki tüm planlamalar, ilgili Birim Yönetim Kurulu tarafından yapılacaktır. </w:t>
      </w:r>
    </w:p>
    <w:p w:rsidR="001535FD" w:rsidRPr="000E7CC2" w:rsidRDefault="001535FD" w:rsidP="001535FD">
      <w:pPr>
        <w:pStyle w:val="ListeParagraf"/>
        <w:numPr>
          <w:ilvl w:val="0"/>
          <w:numId w:val="1"/>
        </w:numPr>
        <w:spacing w:after="0" w:line="240" w:lineRule="auto"/>
        <w:ind w:left="511" w:hanging="454"/>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programına başlayan öğrencilerin öğrencilik hizmetleri, ilgili akademik birimlerin öğrenci işleri büroları tarafından yürütülecektir. Programın tüm birimlerde etkili yürütülebilmesi için yeterli sayıda personel görevlendirmesi yapılacaktır.</w:t>
      </w:r>
    </w:p>
    <w:p w:rsidR="001535FD" w:rsidRPr="000E7CC2" w:rsidRDefault="001535FD" w:rsidP="001535FD">
      <w:pPr>
        <w:pStyle w:val="ListeParagraf"/>
        <w:numPr>
          <w:ilvl w:val="0"/>
          <w:numId w:val="1"/>
        </w:numPr>
        <w:spacing w:after="0" w:line="240" w:lineRule="auto"/>
        <w:ind w:left="511" w:hanging="454"/>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Öğrenciler, "Öğretmenlik Uygulaması" dersi dışındaki diğer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derslerinden daha önceden aldığı ve başarıyla tamamladığı dersler için kayıtlı oldukları birimin öğrenci işleri bürolarına muafiyet başvurusunda bulunabilecek olup, muafiyet işlemleri Kırklareli Üniversitesi Ön Lisans ve Lisans Muafiyet ve İntibak İşlemleri Yönergesi hükümlerine göre yürütülecektir. </w:t>
      </w:r>
    </w:p>
    <w:p w:rsidR="001535FD" w:rsidRPr="000E7CC2" w:rsidRDefault="001535FD" w:rsidP="001535FD">
      <w:pPr>
        <w:pStyle w:val="ListeParagraf"/>
        <w:numPr>
          <w:ilvl w:val="0"/>
          <w:numId w:val="1"/>
        </w:numPr>
        <w:spacing w:after="0" w:line="240" w:lineRule="auto"/>
        <w:ind w:left="511" w:hanging="454"/>
        <w:jc w:val="both"/>
        <w:rPr>
          <w:rFonts w:ascii="Times New Roman" w:hAnsi="Times New Roman" w:cs="Times New Roman"/>
          <w:b/>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dersleri, "Öğretmenlik Uygulaması" dersi hariç olmak üzere 2023-2024 eğitim-öğretim yılı güz ve bahar yarıyılında Pazartesi günleri öğlene kadar çevrim içi yürütülecek olup; isteyen öğrenciler için, Pazartesi günleri öğleden sonra Fen-Edebiyat Fakültesince ilan edilen dersliklerde yüz yüze yürütülecektir.</w:t>
      </w:r>
    </w:p>
    <w:p w:rsidR="001535FD" w:rsidRPr="000E7CC2" w:rsidRDefault="001535FD" w:rsidP="001535FD">
      <w:pPr>
        <w:pStyle w:val="ListeParagraf"/>
        <w:spacing w:after="0" w:line="240" w:lineRule="auto"/>
        <w:ind w:left="511"/>
        <w:jc w:val="both"/>
        <w:rPr>
          <w:rFonts w:ascii="Times New Roman" w:hAnsi="Times New Roman" w:cs="Times New Roman"/>
          <w:color w:val="000000" w:themeColor="text1"/>
          <w:sz w:val="24"/>
          <w:szCs w:val="24"/>
        </w:rPr>
      </w:pPr>
    </w:p>
    <w:p w:rsidR="001535FD" w:rsidRPr="000E7CC2" w:rsidRDefault="001535FD" w:rsidP="001535FD">
      <w:pPr>
        <w:spacing w:after="0" w:line="240" w:lineRule="auto"/>
        <w:ind w:left="57"/>
        <w:contextualSpacing/>
        <w:jc w:val="both"/>
        <w:rPr>
          <w:rFonts w:ascii="Times New Roman" w:hAnsi="Times New Roman" w:cs="Times New Roman"/>
          <w:b/>
          <w:color w:val="000000" w:themeColor="text1"/>
          <w:sz w:val="24"/>
          <w:szCs w:val="24"/>
        </w:rPr>
      </w:pPr>
      <w:r w:rsidRPr="000E7CC2">
        <w:rPr>
          <w:rFonts w:ascii="Times New Roman" w:hAnsi="Times New Roman" w:cs="Times New Roman"/>
          <w:b/>
          <w:color w:val="000000" w:themeColor="text1"/>
          <w:sz w:val="24"/>
          <w:szCs w:val="24"/>
        </w:rPr>
        <w:t>Öğretmenlik Uygulamaları:</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kapsamındaki Öğretmenlik Uygulaması dersi için Kırklareli İl Milli Eğitim Müdürlüğü ile koordinasyon sağlanacaktır. Öğrencilerin kayıtlı oldukları lisans programı ile ilgili Öğretmenlik Uygulaması dersi kapsamında, il merkezi dışında, ilçelerde bulunan okullarda da uygulama yapabileceklerdir.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sertifika programı kapsamındaki Öğretmenlik Uygulaması dersi için kayıtlı öğrenci sayısının öğretmenlik branşı dikkate alınarak ihtiyaç duyulan okul türleri ve sayıları ile uygulama öğretmenleri belirlenmesi için Kırklareli İl Milli Eğitim Müdürlüğü ile işbirliği içinde planlama ve uygulamalar yürütülecektir.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sertifika programına kayıtlı farklı branşlardaki öğrencilerin, Öğretmenlik Uygulaması dersinin yürütüleceği okullardaki uygulamalarının takibi için öğretim elemanı desteğine ihtiyaç duyulması halinde, Üniversite akademik birimleriyle iş birliği içinde gönüllü öğretim elemanları desteği sağlanacaktır.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eğitim planında 4. Sınıf dersi olan "Öğretmenlik Uygulaması" dersinin yürütülmesinde, diğer pedagojik formasyon eğitimi derslerini almış ve başarmış olan 4. Sınıf öğrencilerine öncelik verilecektir. </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lastRenderedPageBreak/>
        <w:t xml:space="preserve">Öğretmenlik Uygulaması dersine dahil edilecek 4. Sınıf öğrencilerinin sayısı, Kırklareli ilinde Milli Eğitim Bakanlığına bağlı okullarda bulunan ilgili </w:t>
      </w:r>
      <w:proofErr w:type="gramStart"/>
      <w:r w:rsidRPr="000E7CC2">
        <w:rPr>
          <w:rFonts w:ascii="Times New Roman" w:hAnsi="Times New Roman" w:cs="Times New Roman"/>
          <w:color w:val="000000" w:themeColor="text1"/>
          <w:sz w:val="24"/>
          <w:szCs w:val="24"/>
        </w:rPr>
        <w:t>branş</w:t>
      </w:r>
      <w:proofErr w:type="gramEnd"/>
      <w:r w:rsidRPr="000E7CC2">
        <w:rPr>
          <w:rFonts w:ascii="Times New Roman" w:hAnsi="Times New Roman" w:cs="Times New Roman"/>
          <w:color w:val="000000" w:themeColor="text1"/>
          <w:sz w:val="24"/>
          <w:szCs w:val="24"/>
        </w:rPr>
        <w:t xml:space="preserve"> öğretmenleri sayısı ile sınırlıdır.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kapsamındaki Öğretmenlik Uygulaması dersinin yürütülmesi sürecinde, Kırklareli İl Merkezinde öğrencinin kayıtlı olduğu programa uygun öğretmenlik branşı olmaması durumunda, uygulamanın yapılamamasından Kırklareli Üniversitesi Pedagojik Formasyon Eğitimi birimi sorumlu değildir.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Kayıtlı olduğu programın mezuniyet için gerekli tüm şartlarını yerine getiren son sınıf öğrencilerinden diplomasını alarak mezun olmak isteyenler, diplomasını alabilir ve  ‘Mezunlar İçin Pedagojik Formasyon Eğitimi Sertifika Programına İlişkin Çerçeve Usul ve </w:t>
      </w:r>
      <w:proofErr w:type="spellStart"/>
      <w:r w:rsidRPr="000E7CC2">
        <w:rPr>
          <w:rFonts w:ascii="Times New Roman" w:hAnsi="Times New Roman" w:cs="Times New Roman"/>
          <w:color w:val="000000" w:themeColor="text1"/>
          <w:sz w:val="24"/>
          <w:szCs w:val="24"/>
        </w:rPr>
        <w:t>Esaslar’ın</w:t>
      </w:r>
      <w:proofErr w:type="spellEnd"/>
      <w:r w:rsidRPr="000E7CC2">
        <w:rPr>
          <w:rFonts w:ascii="Times New Roman" w:hAnsi="Times New Roman" w:cs="Times New Roman"/>
          <w:color w:val="000000" w:themeColor="text1"/>
          <w:sz w:val="24"/>
          <w:szCs w:val="24"/>
        </w:rPr>
        <w:t xml:space="preserve"> 11 inci maddesinde yer alan sertifika öğrenim ücretini ödeyerek ilgili dersleri alıp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eğitimini tamamlayabilirler. Kayıtlı olduğu programın mezuniyet için tüm şartlarını yerine getiren; ancak 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almaya devam etmek istediğini yazılı olarak bildiren öğrenciler ise, 2023-2024 </w:t>
      </w:r>
      <w:r>
        <w:rPr>
          <w:rFonts w:ascii="Times New Roman" w:hAnsi="Times New Roman" w:cs="Times New Roman"/>
          <w:color w:val="000000" w:themeColor="text1"/>
          <w:sz w:val="24"/>
          <w:szCs w:val="24"/>
        </w:rPr>
        <w:t>eğitim-</w:t>
      </w:r>
      <w:r w:rsidRPr="000E7CC2">
        <w:rPr>
          <w:rFonts w:ascii="Times New Roman" w:hAnsi="Times New Roman" w:cs="Times New Roman"/>
          <w:color w:val="000000" w:themeColor="text1"/>
          <w:sz w:val="24"/>
          <w:szCs w:val="24"/>
        </w:rPr>
        <w:t>öğretim yılı bahar dönemine kadar lisans öğrenci haklarına sahip olarak öğrenimlerine devam edebileceklerdir.</w:t>
      </w:r>
    </w:p>
    <w:p w:rsidR="001535FD" w:rsidRPr="000E7CC2" w:rsidRDefault="001535FD" w:rsidP="001535FD">
      <w:pPr>
        <w:pStyle w:val="ListeParagraf"/>
        <w:numPr>
          <w:ilvl w:val="0"/>
          <w:numId w:val="1"/>
        </w:numPr>
        <w:tabs>
          <w:tab w:val="left" w:pos="426"/>
        </w:tabs>
        <w:spacing w:after="0" w:line="240" w:lineRule="auto"/>
        <w:ind w:left="426" w:hanging="369"/>
        <w:jc w:val="both"/>
        <w:rPr>
          <w:rFonts w:ascii="Times New Roman" w:hAnsi="Times New Roman" w:cs="Times New Roman"/>
          <w:color w:val="000000" w:themeColor="text1"/>
          <w:sz w:val="24"/>
          <w:szCs w:val="24"/>
        </w:rPr>
      </w:pPr>
      <w:r w:rsidRPr="000E7CC2">
        <w:rPr>
          <w:rFonts w:ascii="Times New Roman" w:hAnsi="Times New Roman" w:cs="Times New Roman"/>
          <w:color w:val="000000" w:themeColor="text1"/>
          <w:sz w:val="24"/>
          <w:szCs w:val="24"/>
        </w:rPr>
        <w:t xml:space="preserve">Pedagojik </w:t>
      </w:r>
      <w:proofErr w:type="gramStart"/>
      <w:r w:rsidRPr="000E7CC2">
        <w:rPr>
          <w:rFonts w:ascii="Times New Roman" w:hAnsi="Times New Roman" w:cs="Times New Roman"/>
          <w:color w:val="000000" w:themeColor="text1"/>
          <w:sz w:val="24"/>
          <w:szCs w:val="24"/>
        </w:rPr>
        <w:t>formasyon</w:t>
      </w:r>
      <w:proofErr w:type="gramEnd"/>
      <w:r w:rsidRPr="000E7CC2">
        <w:rPr>
          <w:rFonts w:ascii="Times New Roman" w:hAnsi="Times New Roman" w:cs="Times New Roman"/>
          <w:color w:val="000000" w:themeColor="text1"/>
          <w:sz w:val="24"/>
          <w:szCs w:val="24"/>
        </w:rPr>
        <w:t xml:space="preserve"> eğitimi programı kapsamında ders açılması ve öğretim elemanı görevlendirme işlemleri Kırklareli Üniversitesi Pedagojik Formasyon Eğitimi Birimi tarafından yürütülecektir.</w:t>
      </w:r>
    </w:p>
    <w:p w:rsidR="001535FD" w:rsidRPr="000E7CC2" w:rsidRDefault="001535FD" w:rsidP="001535FD">
      <w:pPr>
        <w:pStyle w:val="ListeParagraf"/>
        <w:spacing w:after="0" w:line="240" w:lineRule="auto"/>
        <w:ind w:left="341" w:hanging="284"/>
        <w:jc w:val="both"/>
        <w:rPr>
          <w:rFonts w:ascii="Times New Roman" w:hAnsi="Times New Roman" w:cs="Times New Roman"/>
          <w:color w:val="000000" w:themeColor="text1"/>
          <w:sz w:val="24"/>
          <w:szCs w:val="24"/>
        </w:rPr>
      </w:pPr>
    </w:p>
    <w:p w:rsidR="002F1909" w:rsidRPr="001535FD" w:rsidRDefault="002F1909" w:rsidP="001535FD"/>
    <w:sectPr w:rsidR="002F1909" w:rsidRPr="001535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85" w:rsidRDefault="00E06185" w:rsidP="001F020D">
      <w:pPr>
        <w:spacing w:after="0" w:line="240" w:lineRule="auto"/>
      </w:pPr>
      <w:r>
        <w:separator/>
      </w:r>
    </w:p>
  </w:endnote>
  <w:endnote w:type="continuationSeparator" w:id="0">
    <w:p w:rsidR="00E06185" w:rsidRDefault="00E06185"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1E7" w:rsidRDefault="005F51E7">
    <w:pPr>
      <w:pStyle w:val="AltBilgi"/>
    </w:pPr>
  </w:p>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85" w:rsidRDefault="00E06185" w:rsidP="001F020D">
      <w:pPr>
        <w:spacing w:after="0" w:line="240" w:lineRule="auto"/>
      </w:pPr>
      <w:r>
        <w:separator/>
      </w:r>
    </w:p>
  </w:footnote>
  <w:footnote w:type="continuationSeparator" w:id="0">
    <w:p w:rsidR="00E06185" w:rsidRDefault="00E06185" w:rsidP="001F0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526"/>
    <w:multiLevelType w:val="hybridMultilevel"/>
    <w:tmpl w:val="11FAE91E"/>
    <w:lvl w:ilvl="0" w:tplc="C0B0A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44"/>
    <w:rsid w:val="0000342E"/>
    <w:rsid w:val="000304F6"/>
    <w:rsid w:val="000522DF"/>
    <w:rsid w:val="000570D2"/>
    <w:rsid w:val="0007007A"/>
    <w:rsid w:val="000A2296"/>
    <w:rsid w:val="00102143"/>
    <w:rsid w:val="00124167"/>
    <w:rsid w:val="001535FD"/>
    <w:rsid w:val="00187FF0"/>
    <w:rsid w:val="00190AC7"/>
    <w:rsid w:val="001A63A3"/>
    <w:rsid w:val="001B3714"/>
    <w:rsid w:val="001B6566"/>
    <w:rsid w:val="001C122E"/>
    <w:rsid w:val="001F020D"/>
    <w:rsid w:val="002302E0"/>
    <w:rsid w:val="002B1D73"/>
    <w:rsid w:val="002C2DA8"/>
    <w:rsid w:val="002D4C1B"/>
    <w:rsid w:val="002F1909"/>
    <w:rsid w:val="003134EA"/>
    <w:rsid w:val="00344AFB"/>
    <w:rsid w:val="003875CE"/>
    <w:rsid w:val="003F423D"/>
    <w:rsid w:val="00420EBA"/>
    <w:rsid w:val="00450444"/>
    <w:rsid w:val="004F0314"/>
    <w:rsid w:val="00513239"/>
    <w:rsid w:val="00546BF6"/>
    <w:rsid w:val="00547C88"/>
    <w:rsid w:val="00554141"/>
    <w:rsid w:val="00566154"/>
    <w:rsid w:val="0057312A"/>
    <w:rsid w:val="005F51E7"/>
    <w:rsid w:val="0065796C"/>
    <w:rsid w:val="00666894"/>
    <w:rsid w:val="006D57DF"/>
    <w:rsid w:val="00710CE3"/>
    <w:rsid w:val="007A6CBE"/>
    <w:rsid w:val="007C3B96"/>
    <w:rsid w:val="007C60B7"/>
    <w:rsid w:val="00806E0F"/>
    <w:rsid w:val="00834F6A"/>
    <w:rsid w:val="008E1567"/>
    <w:rsid w:val="009A1294"/>
    <w:rsid w:val="00A1555F"/>
    <w:rsid w:val="00A95D1D"/>
    <w:rsid w:val="00AE4FDD"/>
    <w:rsid w:val="00B64016"/>
    <w:rsid w:val="00C47C34"/>
    <w:rsid w:val="00C7348E"/>
    <w:rsid w:val="00C947B9"/>
    <w:rsid w:val="00CD4780"/>
    <w:rsid w:val="00D22002"/>
    <w:rsid w:val="00D56098"/>
    <w:rsid w:val="00D6009F"/>
    <w:rsid w:val="00D74B3E"/>
    <w:rsid w:val="00D96660"/>
    <w:rsid w:val="00E06185"/>
    <w:rsid w:val="00E21862"/>
    <w:rsid w:val="00E221FB"/>
    <w:rsid w:val="00E938FD"/>
    <w:rsid w:val="00EB4046"/>
    <w:rsid w:val="00F2400F"/>
    <w:rsid w:val="00FA1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DEC7"/>
  <w15:docId w15:val="{7DCC3B67-E438-4468-AD0A-ED1B909B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 w:type="table" w:styleId="TabloKlavuzu">
    <w:name w:val="Table Grid"/>
    <w:basedOn w:val="NormalTablo"/>
    <w:uiPriority w:val="39"/>
    <w:rsid w:val="0015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tahir</cp:lastModifiedBy>
  <cp:revision>2</cp:revision>
  <cp:lastPrinted>2023-02-02T07:01:00Z</cp:lastPrinted>
  <dcterms:created xsi:type="dcterms:W3CDTF">2023-09-28T01:00:00Z</dcterms:created>
  <dcterms:modified xsi:type="dcterms:W3CDTF">2023-09-28T01:00:00Z</dcterms:modified>
</cp:coreProperties>
</file>